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5E63CD" w14:textId="679C9675" w:rsidR="00A053CE" w:rsidRPr="000767AE" w:rsidRDefault="00A053CE" w:rsidP="00A053CE">
      <w:pPr>
        <w:pStyle w:val="Heading1"/>
        <w:spacing w:before="0"/>
        <w:rPr>
          <w:rFonts w:ascii="Arial" w:hAnsi="Arial"/>
          <w:b/>
        </w:rPr>
      </w:pPr>
      <w:bookmarkStart w:id="0" w:name="_Toc381719157"/>
      <w:r w:rsidRPr="000767AE">
        <w:rPr>
          <w:rFonts w:ascii="Arial" w:hAnsi="Arial"/>
          <w:b/>
        </w:rPr>
        <w:t>Understanding the mechanisms and the drivers of antimicrobial resistance</w:t>
      </w:r>
      <w:bookmarkEnd w:id="0"/>
    </w:p>
    <w:p w14:paraId="39277B73" w14:textId="77777777" w:rsidR="00A053CE" w:rsidRPr="000767AE" w:rsidRDefault="00A053CE" w:rsidP="00A053CE">
      <w:pPr>
        <w:rPr>
          <w:rFonts w:ascii="Arial" w:hAnsi="Arial" w:cs="Arial"/>
          <w:b/>
          <w:sz w:val="24"/>
          <w:szCs w:val="24"/>
        </w:rPr>
      </w:pPr>
      <w:r w:rsidRPr="000767AE">
        <w:rPr>
          <w:rFonts w:ascii="Arial" w:hAnsi="Arial" w:cs="Arial"/>
          <w:b/>
          <w:sz w:val="24"/>
          <w:szCs w:val="24"/>
        </w:rPr>
        <w:t xml:space="preserve">  </w:t>
      </w:r>
    </w:p>
    <w:p w14:paraId="3AB7CBA9" w14:textId="7CD1F698" w:rsidR="00A053CE" w:rsidRPr="000767AE" w:rsidRDefault="00A053CE" w:rsidP="00A053CE">
      <w:pPr>
        <w:rPr>
          <w:rFonts w:ascii="Arial" w:eastAsia="Times New Roman" w:hAnsi="Arial" w:cs="Arial"/>
          <w:sz w:val="24"/>
          <w:szCs w:val="24"/>
        </w:rPr>
      </w:pPr>
      <w:r w:rsidRPr="000767AE">
        <w:rPr>
          <w:rFonts w:ascii="Arial" w:eastAsia="Times New Roman" w:hAnsi="Arial" w:cs="Arial"/>
          <w:sz w:val="24"/>
          <w:szCs w:val="24"/>
        </w:rPr>
        <w:t>Alison H. Holmes MD</w:t>
      </w:r>
      <w:r w:rsidRPr="000767AE">
        <w:rPr>
          <w:rFonts w:ascii="Arial" w:eastAsia="Times New Roman" w:hAnsi="Arial" w:cs="Arial"/>
          <w:sz w:val="24"/>
          <w:szCs w:val="24"/>
          <w:vertAlign w:val="superscript"/>
        </w:rPr>
        <w:t>1</w:t>
      </w:r>
      <w:r w:rsidR="006332E3" w:rsidRPr="000767AE">
        <w:rPr>
          <w:rFonts w:ascii="Arial" w:eastAsia="Times New Roman" w:hAnsi="Arial" w:cs="Arial"/>
          <w:sz w:val="24"/>
          <w:szCs w:val="24"/>
          <w:vertAlign w:val="superscript"/>
        </w:rPr>
        <w:t>*</w:t>
      </w:r>
      <w:r w:rsidRPr="000767AE">
        <w:rPr>
          <w:rFonts w:ascii="Arial" w:eastAsia="Times New Roman" w:hAnsi="Arial" w:cs="Arial"/>
          <w:sz w:val="24"/>
          <w:szCs w:val="24"/>
        </w:rPr>
        <w:t xml:space="preserve">, </w:t>
      </w:r>
      <w:r w:rsidR="00C80B7D" w:rsidRPr="000767AE">
        <w:rPr>
          <w:rFonts w:ascii="Arial" w:eastAsia="Times New Roman" w:hAnsi="Arial" w:cs="Arial"/>
          <w:sz w:val="24"/>
          <w:szCs w:val="24"/>
        </w:rPr>
        <w:t xml:space="preserve">Luke S.P. Moore </w:t>
      </w:r>
      <w:r w:rsidR="00162F51" w:rsidRPr="000767AE">
        <w:rPr>
          <w:rFonts w:ascii="Arial" w:eastAsia="Times New Roman" w:hAnsi="Arial" w:cs="Arial"/>
          <w:sz w:val="24"/>
          <w:szCs w:val="24"/>
        </w:rPr>
        <w:t>MPH</w:t>
      </w:r>
      <w:r w:rsidR="00162F51" w:rsidRPr="000767AE">
        <w:rPr>
          <w:rFonts w:ascii="Arial" w:eastAsia="Times New Roman" w:hAnsi="Arial" w:cs="Arial"/>
          <w:sz w:val="24"/>
          <w:szCs w:val="24"/>
          <w:vertAlign w:val="superscript"/>
        </w:rPr>
        <w:t>1</w:t>
      </w:r>
      <w:r w:rsidR="00C80B7D" w:rsidRPr="000767AE">
        <w:rPr>
          <w:rFonts w:ascii="Arial" w:eastAsia="Times New Roman" w:hAnsi="Arial" w:cs="Arial"/>
          <w:sz w:val="24"/>
          <w:szCs w:val="24"/>
        </w:rPr>
        <w:t xml:space="preserve">, </w:t>
      </w:r>
      <w:r w:rsidRPr="000767AE">
        <w:rPr>
          <w:rFonts w:ascii="Arial" w:eastAsia="Times New Roman" w:hAnsi="Arial" w:cs="Arial"/>
          <w:sz w:val="24"/>
          <w:szCs w:val="24"/>
        </w:rPr>
        <w:t>Arnfinn Sundsfjord MD</w:t>
      </w:r>
      <w:r w:rsidRPr="000767AE">
        <w:rPr>
          <w:rFonts w:ascii="Arial" w:eastAsia="Times New Roman" w:hAnsi="Arial" w:cs="Arial"/>
          <w:sz w:val="24"/>
          <w:szCs w:val="24"/>
          <w:vertAlign w:val="superscript"/>
        </w:rPr>
        <w:t>2</w:t>
      </w:r>
      <w:r w:rsidR="006E435E" w:rsidRPr="000767AE">
        <w:rPr>
          <w:rFonts w:ascii="Arial" w:eastAsia="Times New Roman" w:hAnsi="Arial" w:cs="Arial"/>
          <w:sz w:val="24"/>
          <w:szCs w:val="24"/>
          <w:vertAlign w:val="superscript"/>
        </w:rPr>
        <w:t>,3</w:t>
      </w:r>
      <w:r w:rsidRPr="000767AE">
        <w:rPr>
          <w:rFonts w:ascii="Arial" w:eastAsia="Times New Roman" w:hAnsi="Arial" w:cs="Arial"/>
          <w:sz w:val="24"/>
          <w:szCs w:val="24"/>
        </w:rPr>
        <w:t xml:space="preserve">, Martin </w:t>
      </w:r>
      <w:proofErr w:type="spellStart"/>
      <w:r w:rsidRPr="000767AE">
        <w:rPr>
          <w:rFonts w:ascii="Arial" w:eastAsia="Times New Roman" w:hAnsi="Arial" w:cs="Arial"/>
          <w:sz w:val="24"/>
          <w:szCs w:val="24"/>
        </w:rPr>
        <w:t>Steinbakk</w:t>
      </w:r>
      <w:proofErr w:type="spellEnd"/>
      <w:r w:rsidRPr="000767AE">
        <w:rPr>
          <w:rFonts w:ascii="Arial" w:eastAsia="Times New Roman" w:hAnsi="Arial" w:cs="Arial"/>
          <w:sz w:val="24"/>
          <w:szCs w:val="24"/>
        </w:rPr>
        <w:t xml:space="preserve"> MD</w:t>
      </w:r>
      <w:r w:rsidR="006E435E" w:rsidRPr="000767AE">
        <w:rPr>
          <w:rFonts w:ascii="Arial" w:eastAsia="Times New Roman" w:hAnsi="Arial" w:cs="Arial"/>
          <w:sz w:val="24"/>
          <w:szCs w:val="24"/>
          <w:vertAlign w:val="superscript"/>
        </w:rPr>
        <w:t>4</w:t>
      </w:r>
      <w:r w:rsidRPr="000767AE">
        <w:rPr>
          <w:rFonts w:ascii="Arial" w:eastAsia="Times New Roman" w:hAnsi="Arial" w:cs="Arial"/>
          <w:sz w:val="24"/>
          <w:szCs w:val="24"/>
        </w:rPr>
        <w:t xml:space="preserve">, Sadie </w:t>
      </w:r>
      <w:proofErr w:type="spellStart"/>
      <w:r w:rsidRPr="000767AE">
        <w:rPr>
          <w:rFonts w:ascii="Arial" w:eastAsia="Times New Roman" w:hAnsi="Arial" w:cs="Arial"/>
          <w:sz w:val="24"/>
          <w:szCs w:val="24"/>
        </w:rPr>
        <w:t>Regmi</w:t>
      </w:r>
      <w:proofErr w:type="spellEnd"/>
      <w:r w:rsidRPr="000767AE">
        <w:rPr>
          <w:rFonts w:ascii="Arial" w:eastAsia="Times New Roman" w:hAnsi="Arial" w:cs="Arial"/>
          <w:sz w:val="24"/>
          <w:szCs w:val="24"/>
        </w:rPr>
        <w:t xml:space="preserve"> </w:t>
      </w:r>
      <w:r w:rsidR="00462FA2" w:rsidRPr="000767AE">
        <w:rPr>
          <w:rFonts w:ascii="Arial" w:eastAsia="Times New Roman" w:hAnsi="Arial" w:cs="Arial"/>
          <w:sz w:val="24"/>
          <w:szCs w:val="24"/>
        </w:rPr>
        <w:t>MBChB</w:t>
      </w:r>
      <w:r w:rsidR="00462FA2" w:rsidRPr="000767AE">
        <w:rPr>
          <w:rFonts w:ascii="Arial" w:eastAsia="Times New Roman" w:hAnsi="Arial" w:cs="Arial"/>
          <w:sz w:val="24"/>
          <w:szCs w:val="24"/>
          <w:vertAlign w:val="superscript"/>
        </w:rPr>
        <w:t>5</w:t>
      </w:r>
      <w:r w:rsidRPr="000767AE">
        <w:rPr>
          <w:rFonts w:ascii="Arial" w:eastAsia="Times New Roman" w:hAnsi="Arial" w:cs="Arial"/>
          <w:sz w:val="24"/>
          <w:szCs w:val="24"/>
        </w:rPr>
        <w:t xml:space="preserve">, </w:t>
      </w:r>
      <w:proofErr w:type="spellStart"/>
      <w:r w:rsidRPr="000767AE">
        <w:rPr>
          <w:rFonts w:ascii="Arial" w:eastAsia="Times New Roman" w:hAnsi="Arial" w:cs="Arial"/>
          <w:sz w:val="24"/>
          <w:szCs w:val="24"/>
        </w:rPr>
        <w:t>Abhilasha</w:t>
      </w:r>
      <w:proofErr w:type="spellEnd"/>
      <w:r w:rsidRPr="000767AE">
        <w:rPr>
          <w:rFonts w:ascii="Arial" w:eastAsia="Times New Roman" w:hAnsi="Arial" w:cs="Arial"/>
          <w:sz w:val="24"/>
          <w:szCs w:val="24"/>
        </w:rPr>
        <w:t xml:space="preserve"> </w:t>
      </w:r>
      <w:proofErr w:type="spellStart"/>
      <w:r w:rsidRPr="000767AE">
        <w:rPr>
          <w:rFonts w:ascii="Arial" w:eastAsia="Times New Roman" w:hAnsi="Arial" w:cs="Arial"/>
          <w:sz w:val="24"/>
          <w:szCs w:val="24"/>
        </w:rPr>
        <w:t>Karkey</w:t>
      </w:r>
      <w:proofErr w:type="spellEnd"/>
      <w:r w:rsidRPr="000767AE">
        <w:rPr>
          <w:rFonts w:ascii="Arial" w:eastAsia="Times New Roman" w:hAnsi="Arial" w:cs="Arial"/>
          <w:sz w:val="24"/>
          <w:szCs w:val="24"/>
        </w:rPr>
        <w:t xml:space="preserve"> DPhil</w:t>
      </w:r>
      <w:r w:rsidR="006E435E" w:rsidRPr="000767AE">
        <w:rPr>
          <w:rFonts w:ascii="Arial" w:eastAsia="Times New Roman" w:hAnsi="Arial" w:cs="Arial"/>
          <w:sz w:val="24"/>
          <w:szCs w:val="24"/>
          <w:vertAlign w:val="superscript"/>
        </w:rPr>
        <w:t>6</w:t>
      </w:r>
      <w:r w:rsidRPr="000767AE">
        <w:rPr>
          <w:rFonts w:ascii="Arial" w:eastAsia="Times New Roman" w:hAnsi="Arial" w:cs="Arial"/>
          <w:sz w:val="24"/>
          <w:szCs w:val="24"/>
        </w:rPr>
        <w:t xml:space="preserve">, Philippe J. Guerin </w:t>
      </w:r>
      <w:r w:rsidR="00C80B7D" w:rsidRPr="000767AE">
        <w:rPr>
          <w:rFonts w:ascii="Arial" w:eastAsia="Times New Roman" w:hAnsi="Arial" w:cs="Arial"/>
          <w:sz w:val="24"/>
          <w:szCs w:val="24"/>
        </w:rPr>
        <w:t>M</w:t>
      </w:r>
      <w:r w:rsidRPr="000767AE">
        <w:rPr>
          <w:rFonts w:ascii="Arial" w:eastAsia="Times New Roman" w:hAnsi="Arial" w:cs="Arial"/>
          <w:sz w:val="24"/>
          <w:szCs w:val="24"/>
        </w:rPr>
        <w:t>D</w:t>
      </w:r>
      <w:r w:rsidRPr="000767AE">
        <w:rPr>
          <w:rFonts w:ascii="Arial" w:eastAsia="Times New Roman" w:hAnsi="Arial" w:cs="Arial"/>
          <w:sz w:val="24"/>
          <w:szCs w:val="24"/>
          <w:vertAlign w:val="superscript"/>
        </w:rPr>
        <w:t>7</w:t>
      </w:r>
      <w:r w:rsidR="006E435E" w:rsidRPr="000767AE">
        <w:rPr>
          <w:rFonts w:ascii="Arial" w:eastAsia="Times New Roman" w:hAnsi="Arial" w:cs="Arial"/>
          <w:sz w:val="24"/>
          <w:szCs w:val="24"/>
          <w:vertAlign w:val="superscript"/>
        </w:rPr>
        <w:t>,8</w:t>
      </w:r>
      <w:r w:rsidRPr="000767AE">
        <w:rPr>
          <w:rFonts w:ascii="Arial" w:eastAsia="Times New Roman" w:hAnsi="Arial" w:cs="Arial"/>
          <w:sz w:val="24"/>
          <w:szCs w:val="24"/>
        </w:rPr>
        <w:t xml:space="preserve">, Laura J.V. </w:t>
      </w:r>
      <w:proofErr w:type="spellStart"/>
      <w:r w:rsidRPr="000767AE">
        <w:rPr>
          <w:rFonts w:ascii="Arial" w:eastAsia="Times New Roman" w:hAnsi="Arial" w:cs="Arial"/>
          <w:sz w:val="24"/>
          <w:szCs w:val="24"/>
        </w:rPr>
        <w:t>Piddock</w:t>
      </w:r>
      <w:proofErr w:type="spellEnd"/>
      <w:r w:rsidRPr="000767AE">
        <w:rPr>
          <w:rFonts w:ascii="Arial" w:eastAsia="Times New Roman" w:hAnsi="Arial" w:cs="Arial"/>
          <w:sz w:val="24"/>
          <w:szCs w:val="24"/>
        </w:rPr>
        <w:t xml:space="preserve"> </w:t>
      </w:r>
      <w:r w:rsidRPr="000767AE">
        <w:rPr>
          <w:rFonts w:ascii="Arial" w:hAnsi="Arial" w:cs="Arial"/>
          <w:sz w:val="24"/>
          <w:szCs w:val="24"/>
        </w:rPr>
        <w:t>PhD</w:t>
      </w:r>
      <w:r w:rsidR="00EB57DC" w:rsidRPr="000767AE">
        <w:rPr>
          <w:rFonts w:ascii="Arial" w:eastAsia="Times New Roman" w:hAnsi="Arial" w:cs="Arial"/>
          <w:sz w:val="24"/>
          <w:szCs w:val="24"/>
          <w:vertAlign w:val="superscript"/>
        </w:rPr>
        <w:t>9</w:t>
      </w:r>
      <w:r w:rsidRPr="000767AE">
        <w:rPr>
          <w:rFonts w:ascii="Arial" w:eastAsia="Times New Roman" w:hAnsi="Arial" w:cs="Arial"/>
          <w:sz w:val="24"/>
          <w:szCs w:val="24"/>
        </w:rPr>
        <w:t>.</w:t>
      </w:r>
    </w:p>
    <w:p w14:paraId="380CE6EA" w14:textId="77777777" w:rsidR="00A053CE" w:rsidRPr="000767AE" w:rsidRDefault="00A053CE" w:rsidP="00A053CE">
      <w:pPr>
        <w:rPr>
          <w:rFonts w:ascii="Arial" w:eastAsia="Times New Roman" w:hAnsi="Arial" w:cs="Arial"/>
          <w:sz w:val="24"/>
          <w:szCs w:val="24"/>
        </w:rPr>
      </w:pPr>
    </w:p>
    <w:p w14:paraId="620374A6" w14:textId="77777777" w:rsidR="006332E3" w:rsidRPr="000767AE" w:rsidRDefault="006332E3" w:rsidP="00A053CE">
      <w:pPr>
        <w:rPr>
          <w:rFonts w:ascii="Arial" w:eastAsia="Times New Roman" w:hAnsi="Arial" w:cs="Arial"/>
          <w:sz w:val="24"/>
          <w:szCs w:val="24"/>
        </w:rPr>
      </w:pPr>
    </w:p>
    <w:p w14:paraId="399EF5BF" w14:textId="36E2C2C9" w:rsidR="00A053CE" w:rsidRPr="000767AE" w:rsidRDefault="00A053CE" w:rsidP="00A053CE">
      <w:pPr>
        <w:rPr>
          <w:rFonts w:ascii="Arial" w:hAnsi="Arial" w:cs="Arial"/>
          <w:i/>
          <w:sz w:val="24"/>
          <w:szCs w:val="24"/>
        </w:rPr>
      </w:pPr>
      <w:r w:rsidRPr="000767AE">
        <w:rPr>
          <w:rFonts w:ascii="Arial" w:hAnsi="Arial" w:cs="Arial"/>
          <w:i/>
          <w:iCs/>
          <w:sz w:val="24"/>
          <w:szCs w:val="24"/>
          <w:lang w:val="en-US" w:eastAsia="nb-NO"/>
        </w:rPr>
        <w:t xml:space="preserve">1. </w:t>
      </w:r>
      <w:r w:rsidR="00C702E7" w:rsidRPr="000767AE">
        <w:rPr>
          <w:rFonts w:ascii="Arial" w:hAnsi="Arial" w:cs="Arial"/>
          <w:i/>
          <w:sz w:val="24"/>
          <w:szCs w:val="24"/>
        </w:rPr>
        <w:t>National Institute of Health Research Health Protection Research Unit in Healthcare Associated Infection and Antimicrobial Resistance</w:t>
      </w:r>
      <w:r w:rsidR="005E3B76" w:rsidRPr="000767AE">
        <w:rPr>
          <w:rFonts w:ascii="Arial" w:hAnsi="Arial" w:cs="Arial"/>
          <w:i/>
          <w:sz w:val="24"/>
          <w:szCs w:val="24"/>
        </w:rPr>
        <w:t>,</w:t>
      </w:r>
      <w:r w:rsidR="00D66221" w:rsidRPr="000767AE">
        <w:rPr>
          <w:rFonts w:ascii="Arial" w:hAnsi="Arial" w:cs="Arial"/>
          <w:i/>
          <w:sz w:val="24"/>
          <w:szCs w:val="24"/>
        </w:rPr>
        <w:t xml:space="preserve"> and Department of Infectious Diseases,</w:t>
      </w:r>
      <w:r w:rsidR="00C702E7" w:rsidRPr="000767AE">
        <w:rPr>
          <w:rFonts w:ascii="Arial" w:hAnsi="Arial" w:cs="Arial"/>
          <w:i/>
          <w:sz w:val="24"/>
          <w:szCs w:val="24"/>
        </w:rPr>
        <w:t xml:space="preserve"> Imperial College London</w:t>
      </w:r>
      <w:r w:rsidRPr="000767AE">
        <w:rPr>
          <w:rFonts w:ascii="Arial" w:hAnsi="Arial" w:cs="Arial"/>
          <w:i/>
          <w:sz w:val="24"/>
          <w:szCs w:val="24"/>
          <w:shd w:val="clear" w:color="auto" w:fill="FFFFFF"/>
        </w:rPr>
        <w:t xml:space="preserve">, Hammersmith Campus, </w:t>
      </w:r>
      <w:proofErr w:type="gramStart"/>
      <w:r w:rsidRPr="000767AE">
        <w:rPr>
          <w:rFonts w:ascii="Arial" w:hAnsi="Arial" w:cs="Arial"/>
          <w:i/>
          <w:sz w:val="24"/>
          <w:szCs w:val="24"/>
          <w:shd w:val="clear" w:color="auto" w:fill="FFFFFF"/>
        </w:rPr>
        <w:t>Du</w:t>
      </w:r>
      <w:proofErr w:type="gramEnd"/>
      <w:r w:rsidRPr="000767AE">
        <w:rPr>
          <w:rFonts w:ascii="Arial" w:hAnsi="Arial" w:cs="Arial"/>
          <w:i/>
          <w:sz w:val="24"/>
          <w:szCs w:val="24"/>
          <w:shd w:val="clear" w:color="auto" w:fill="FFFFFF"/>
        </w:rPr>
        <w:t xml:space="preserve"> Cane Road, London. </w:t>
      </w:r>
      <w:proofErr w:type="gramStart"/>
      <w:r w:rsidRPr="000767AE">
        <w:rPr>
          <w:rFonts w:ascii="Arial" w:hAnsi="Arial" w:cs="Arial"/>
          <w:i/>
          <w:sz w:val="24"/>
          <w:szCs w:val="24"/>
          <w:shd w:val="clear" w:color="auto" w:fill="FFFFFF"/>
        </w:rPr>
        <w:t>W12 0HS.</w:t>
      </w:r>
      <w:proofErr w:type="gramEnd"/>
      <w:r w:rsidRPr="000767AE">
        <w:rPr>
          <w:rFonts w:ascii="Arial" w:hAnsi="Arial" w:cs="Arial"/>
          <w:i/>
          <w:sz w:val="24"/>
          <w:szCs w:val="24"/>
          <w:shd w:val="clear" w:color="auto" w:fill="FFFFFF"/>
        </w:rPr>
        <w:t xml:space="preserve"> </w:t>
      </w:r>
      <w:r w:rsidR="006E435E" w:rsidRPr="000767AE">
        <w:rPr>
          <w:rFonts w:ascii="Arial" w:hAnsi="Arial" w:cs="Arial"/>
          <w:i/>
          <w:sz w:val="24"/>
          <w:szCs w:val="24"/>
          <w:shd w:val="clear" w:color="auto" w:fill="FFFFFF"/>
        </w:rPr>
        <w:t>UK</w:t>
      </w:r>
      <w:r w:rsidRPr="000767AE">
        <w:rPr>
          <w:rFonts w:ascii="Arial" w:hAnsi="Arial" w:cs="Arial"/>
          <w:i/>
          <w:sz w:val="24"/>
          <w:szCs w:val="24"/>
        </w:rPr>
        <w:t xml:space="preserve">. </w:t>
      </w:r>
    </w:p>
    <w:p w14:paraId="22467A61" w14:textId="77777777" w:rsidR="00A053CE" w:rsidRPr="000767AE" w:rsidRDefault="00A053CE" w:rsidP="00A053CE">
      <w:pPr>
        <w:rPr>
          <w:rFonts w:ascii="Arial" w:hAnsi="Arial" w:cs="Arial"/>
          <w:i/>
          <w:iCs/>
          <w:sz w:val="24"/>
          <w:szCs w:val="24"/>
          <w:lang w:val="en-US" w:eastAsia="nb-NO"/>
        </w:rPr>
      </w:pPr>
    </w:p>
    <w:p w14:paraId="773A2A31" w14:textId="4795467A" w:rsidR="00A053CE" w:rsidRPr="000767AE" w:rsidRDefault="00A053CE" w:rsidP="00A053CE">
      <w:pPr>
        <w:rPr>
          <w:rFonts w:ascii="Arial" w:hAnsi="Arial" w:cs="Arial"/>
          <w:i/>
          <w:iCs/>
          <w:sz w:val="24"/>
          <w:szCs w:val="24"/>
          <w:lang w:val="en-US" w:eastAsia="nb-NO"/>
        </w:rPr>
      </w:pPr>
      <w:r w:rsidRPr="000767AE">
        <w:rPr>
          <w:rFonts w:ascii="Arial" w:hAnsi="Arial" w:cs="Arial"/>
          <w:i/>
          <w:iCs/>
          <w:sz w:val="24"/>
          <w:szCs w:val="24"/>
          <w:lang w:val="en-US" w:eastAsia="nb-NO"/>
        </w:rPr>
        <w:t xml:space="preserve">2. </w:t>
      </w:r>
      <w:r w:rsidR="0015752F" w:rsidRPr="000767AE">
        <w:rPr>
          <w:rFonts w:ascii="Arial" w:hAnsi="Arial" w:cs="Arial"/>
          <w:i/>
          <w:iCs/>
          <w:sz w:val="24"/>
          <w:szCs w:val="24"/>
          <w:lang w:val="en-US" w:eastAsia="nb-NO"/>
        </w:rPr>
        <w:t>Norwegian National Advisory Unit on Detection of Antimicrobial Resistance</w:t>
      </w:r>
      <w:r w:rsidR="00C702E7" w:rsidRPr="000767AE">
        <w:rPr>
          <w:rFonts w:ascii="Arial" w:hAnsi="Arial" w:cs="Arial"/>
          <w:i/>
          <w:iCs/>
          <w:sz w:val="24"/>
          <w:szCs w:val="24"/>
          <w:lang w:val="en-US" w:eastAsia="nb-NO"/>
        </w:rPr>
        <w:t xml:space="preserve">,  </w:t>
      </w:r>
      <w:r w:rsidRPr="000767AE">
        <w:rPr>
          <w:rFonts w:ascii="Arial" w:hAnsi="Arial" w:cs="Arial"/>
          <w:i/>
          <w:iCs/>
          <w:sz w:val="24"/>
          <w:szCs w:val="24"/>
          <w:lang w:val="en-US" w:eastAsia="nb-NO"/>
        </w:rPr>
        <w:t>Department of Clinical Microbiology and Infection Control</w:t>
      </w:r>
      <w:r w:rsidR="00C80B7D" w:rsidRPr="000767AE">
        <w:rPr>
          <w:rFonts w:ascii="Arial" w:hAnsi="Arial" w:cs="Arial"/>
          <w:i/>
          <w:iCs/>
          <w:sz w:val="24"/>
          <w:szCs w:val="24"/>
          <w:lang w:val="en-US" w:eastAsia="nb-NO"/>
        </w:rPr>
        <w:t xml:space="preserve">, </w:t>
      </w:r>
      <w:r w:rsidRPr="000767AE">
        <w:rPr>
          <w:rFonts w:ascii="Arial" w:hAnsi="Arial" w:cs="Arial"/>
          <w:i/>
          <w:iCs/>
          <w:sz w:val="24"/>
          <w:szCs w:val="24"/>
          <w:lang w:val="en-US" w:eastAsia="nb-NO"/>
        </w:rPr>
        <w:t>University Hospital of North Norway</w:t>
      </w:r>
      <w:r w:rsidRPr="000767AE">
        <w:rPr>
          <w:rFonts w:ascii="Arial" w:hAnsi="Arial" w:cs="Arial"/>
          <w:i/>
          <w:sz w:val="24"/>
          <w:szCs w:val="24"/>
          <w:lang w:val="en-US"/>
        </w:rPr>
        <w:t xml:space="preserve">, </w:t>
      </w:r>
      <w:r w:rsidRPr="000767AE">
        <w:rPr>
          <w:rFonts w:ascii="Arial" w:hAnsi="Arial" w:cs="Arial"/>
          <w:i/>
          <w:iCs/>
          <w:sz w:val="24"/>
          <w:szCs w:val="24"/>
          <w:lang w:val="en-US" w:eastAsia="nb-NO"/>
        </w:rPr>
        <w:t>NO-903</w:t>
      </w:r>
      <w:r w:rsidR="00603668" w:rsidRPr="000767AE">
        <w:rPr>
          <w:rFonts w:ascii="Arial" w:hAnsi="Arial" w:cs="Arial"/>
          <w:i/>
          <w:iCs/>
          <w:sz w:val="24"/>
          <w:szCs w:val="24"/>
          <w:lang w:val="en-US" w:eastAsia="nb-NO"/>
        </w:rPr>
        <w:t>7</w:t>
      </w:r>
      <w:r w:rsidRPr="000767AE">
        <w:rPr>
          <w:rFonts w:ascii="Arial" w:hAnsi="Arial" w:cs="Arial"/>
          <w:i/>
          <w:iCs/>
          <w:sz w:val="24"/>
          <w:szCs w:val="24"/>
          <w:lang w:val="en-US" w:eastAsia="nb-NO"/>
        </w:rPr>
        <w:t xml:space="preserve"> </w:t>
      </w:r>
      <w:proofErr w:type="spellStart"/>
      <w:r w:rsidRPr="000767AE">
        <w:rPr>
          <w:rFonts w:ascii="Arial" w:hAnsi="Arial" w:cs="Arial"/>
          <w:i/>
          <w:iCs/>
          <w:sz w:val="24"/>
          <w:szCs w:val="24"/>
          <w:lang w:val="en-US" w:eastAsia="nb-NO"/>
        </w:rPr>
        <w:t>Tromsø</w:t>
      </w:r>
      <w:proofErr w:type="spellEnd"/>
      <w:r w:rsidRPr="000767AE">
        <w:rPr>
          <w:rFonts w:ascii="Arial" w:hAnsi="Arial" w:cs="Arial"/>
          <w:i/>
          <w:iCs/>
          <w:sz w:val="24"/>
          <w:szCs w:val="24"/>
          <w:lang w:val="en-US" w:eastAsia="nb-NO"/>
        </w:rPr>
        <w:t>, Norway</w:t>
      </w:r>
      <w:r w:rsidR="00376F82" w:rsidRPr="000767AE">
        <w:rPr>
          <w:rFonts w:ascii="Arial" w:hAnsi="Arial" w:cs="Arial"/>
          <w:i/>
          <w:iCs/>
          <w:sz w:val="24"/>
          <w:szCs w:val="24"/>
          <w:lang w:val="en-US" w:eastAsia="nb-NO"/>
        </w:rPr>
        <w:t>.</w:t>
      </w:r>
    </w:p>
    <w:p w14:paraId="0D718F24" w14:textId="77777777" w:rsidR="006E435E" w:rsidRPr="000767AE" w:rsidRDefault="006E435E" w:rsidP="00A053CE">
      <w:pPr>
        <w:rPr>
          <w:rFonts w:ascii="Arial" w:hAnsi="Arial" w:cs="Arial"/>
          <w:i/>
          <w:iCs/>
          <w:sz w:val="24"/>
          <w:szCs w:val="24"/>
          <w:lang w:val="en-US" w:eastAsia="nb-NO"/>
        </w:rPr>
      </w:pPr>
    </w:p>
    <w:p w14:paraId="588D1CF0" w14:textId="77777777" w:rsidR="006E435E" w:rsidRPr="000767AE" w:rsidRDefault="006E435E" w:rsidP="00A053CE">
      <w:pPr>
        <w:rPr>
          <w:rFonts w:ascii="Arial" w:hAnsi="Arial" w:cs="Arial"/>
          <w:i/>
          <w:sz w:val="24"/>
          <w:szCs w:val="24"/>
          <w:lang w:val="en-US"/>
        </w:rPr>
      </w:pPr>
      <w:r w:rsidRPr="000767AE">
        <w:rPr>
          <w:rFonts w:ascii="Arial" w:hAnsi="Arial" w:cs="Arial"/>
          <w:i/>
          <w:sz w:val="24"/>
          <w:szCs w:val="24"/>
          <w:lang w:val="en-US"/>
        </w:rPr>
        <w:t xml:space="preserve">3. Department of Medical Biology, University of </w:t>
      </w:r>
      <w:proofErr w:type="spellStart"/>
      <w:r w:rsidRPr="000767AE">
        <w:rPr>
          <w:rFonts w:ascii="Arial" w:hAnsi="Arial" w:cs="Arial"/>
          <w:i/>
          <w:sz w:val="24"/>
          <w:szCs w:val="24"/>
          <w:lang w:val="en-US"/>
        </w:rPr>
        <w:t>Tromsø</w:t>
      </w:r>
      <w:proofErr w:type="spellEnd"/>
      <w:r w:rsidRPr="000767AE">
        <w:rPr>
          <w:rFonts w:ascii="Arial" w:hAnsi="Arial" w:cs="Arial"/>
          <w:i/>
          <w:sz w:val="24"/>
          <w:szCs w:val="24"/>
          <w:lang w:val="en-US"/>
        </w:rPr>
        <w:t xml:space="preserve">, </w:t>
      </w:r>
      <w:r w:rsidRPr="000767AE">
        <w:rPr>
          <w:rFonts w:ascii="Arial" w:hAnsi="Arial" w:cs="Arial"/>
          <w:i/>
          <w:iCs/>
          <w:sz w:val="24"/>
          <w:szCs w:val="24"/>
          <w:lang w:val="en-US" w:eastAsia="nb-NO"/>
        </w:rPr>
        <w:t xml:space="preserve">NO-9037 </w:t>
      </w:r>
      <w:proofErr w:type="spellStart"/>
      <w:r w:rsidRPr="000767AE">
        <w:rPr>
          <w:rFonts w:ascii="Arial" w:hAnsi="Arial" w:cs="Arial"/>
          <w:i/>
          <w:iCs/>
          <w:sz w:val="24"/>
          <w:szCs w:val="24"/>
          <w:lang w:val="en-US" w:eastAsia="nb-NO"/>
        </w:rPr>
        <w:t>Tromsø</w:t>
      </w:r>
      <w:proofErr w:type="spellEnd"/>
      <w:r w:rsidRPr="000767AE">
        <w:rPr>
          <w:rFonts w:ascii="Arial" w:hAnsi="Arial" w:cs="Arial"/>
          <w:i/>
          <w:iCs/>
          <w:sz w:val="24"/>
          <w:szCs w:val="24"/>
          <w:lang w:val="en-US" w:eastAsia="nb-NO"/>
        </w:rPr>
        <w:t>, Norway</w:t>
      </w:r>
    </w:p>
    <w:p w14:paraId="389BFA41" w14:textId="77777777" w:rsidR="00A053CE" w:rsidRPr="000767AE" w:rsidRDefault="00A053CE" w:rsidP="00A053CE">
      <w:pPr>
        <w:rPr>
          <w:rFonts w:ascii="Arial" w:hAnsi="Arial" w:cs="Arial"/>
          <w:i/>
          <w:sz w:val="24"/>
          <w:szCs w:val="24"/>
        </w:rPr>
      </w:pPr>
    </w:p>
    <w:p w14:paraId="52DC6C00" w14:textId="77777777" w:rsidR="00A053CE" w:rsidRPr="000767AE" w:rsidRDefault="006E435E" w:rsidP="00A053CE">
      <w:pPr>
        <w:rPr>
          <w:rFonts w:ascii="Arial" w:hAnsi="Arial" w:cs="Arial"/>
          <w:i/>
          <w:sz w:val="24"/>
          <w:szCs w:val="24"/>
        </w:rPr>
      </w:pPr>
      <w:r w:rsidRPr="000767AE">
        <w:rPr>
          <w:rFonts w:ascii="Arial" w:eastAsia="Times New Roman" w:hAnsi="Arial" w:cs="Arial"/>
          <w:i/>
          <w:sz w:val="24"/>
          <w:szCs w:val="24"/>
        </w:rPr>
        <w:t>4</w:t>
      </w:r>
      <w:r w:rsidR="00C80B7D" w:rsidRPr="000767AE">
        <w:rPr>
          <w:rFonts w:ascii="Arial" w:eastAsia="Times New Roman" w:hAnsi="Arial" w:cs="Arial"/>
          <w:i/>
          <w:sz w:val="24"/>
          <w:szCs w:val="24"/>
        </w:rPr>
        <w:t>.</w:t>
      </w:r>
      <w:r w:rsidRPr="000767AE">
        <w:rPr>
          <w:rFonts w:ascii="Arial" w:eastAsia="Calibri" w:hAnsi="Arial" w:cs="Arial"/>
          <w:i/>
          <w:sz w:val="24"/>
          <w:szCs w:val="24"/>
        </w:rPr>
        <w:t xml:space="preserve"> </w:t>
      </w:r>
      <w:r w:rsidR="00A053CE" w:rsidRPr="000767AE">
        <w:rPr>
          <w:rFonts w:ascii="Arial" w:hAnsi="Arial" w:cs="Arial"/>
          <w:i/>
          <w:sz w:val="24"/>
          <w:szCs w:val="24"/>
        </w:rPr>
        <w:t xml:space="preserve">Department of Bacteriology and Immunology, Division of Infectious Disease Control, Norwegian Institute of Public Health, P.O. Box 4404 </w:t>
      </w:r>
      <w:proofErr w:type="spellStart"/>
      <w:r w:rsidR="00A053CE" w:rsidRPr="000767AE">
        <w:rPr>
          <w:rFonts w:ascii="Arial" w:hAnsi="Arial" w:cs="Arial"/>
          <w:i/>
          <w:sz w:val="24"/>
          <w:szCs w:val="24"/>
        </w:rPr>
        <w:t>Nydalen</w:t>
      </w:r>
      <w:proofErr w:type="spellEnd"/>
      <w:r w:rsidR="00A053CE" w:rsidRPr="000767AE">
        <w:rPr>
          <w:rFonts w:ascii="Arial" w:hAnsi="Arial" w:cs="Arial"/>
          <w:i/>
          <w:sz w:val="24"/>
          <w:szCs w:val="24"/>
        </w:rPr>
        <w:t>, NO-0403 Oslo, Norway.</w:t>
      </w:r>
    </w:p>
    <w:p w14:paraId="6D28146A" w14:textId="77777777" w:rsidR="00A053CE" w:rsidRPr="000767AE" w:rsidRDefault="00A053CE" w:rsidP="00A053CE">
      <w:pPr>
        <w:rPr>
          <w:rFonts w:ascii="Arial" w:eastAsia="Times New Roman" w:hAnsi="Arial" w:cs="Arial"/>
          <w:i/>
          <w:sz w:val="24"/>
          <w:szCs w:val="24"/>
        </w:rPr>
      </w:pPr>
    </w:p>
    <w:p w14:paraId="35A40D3C" w14:textId="3B75C948" w:rsidR="00A053CE" w:rsidRPr="000767AE" w:rsidRDefault="006E435E" w:rsidP="00A053CE">
      <w:pPr>
        <w:rPr>
          <w:rFonts w:ascii="Arial" w:eastAsia="Times New Roman" w:hAnsi="Arial" w:cs="Arial"/>
          <w:i/>
          <w:sz w:val="24"/>
          <w:szCs w:val="24"/>
        </w:rPr>
      </w:pPr>
      <w:r w:rsidRPr="000767AE">
        <w:rPr>
          <w:rFonts w:ascii="Arial" w:eastAsia="Times New Roman" w:hAnsi="Arial" w:cs="Arial"/>
          <w:i/>
          <w:sz w:val="24"/>
          <w:szCs w:val="24"/>
        </w:rPr>
        <w:t>5</w:t>
      </w:r>
      <w:r w:rsidR="00A053CE" w:rsidRPr="000767AE">
        <w:rPr>
          <w:rFonts w:ascii="Arial" w:eastAsia="Times New Roman" w:hAnsi="Arial" w:cs="Arial"/>
          <w:i/>
          <w:sz w:val="24"/>
          <w:szCs w:val="24"/>
        </w:rPr>
        <w:t>. Institute for Science, Ethics and Innovation (</w:t>
      </w:r>
      <w:proofErr w:type="spellStart"/>
      <w:r w:rsidR="00A053CE" w:rsidRPr="000767AE">
        <w:rPr>
          <w:rFonts w:ascii="Arial" w:eastAsia="Times New Roman" w:hAnsi="Arial" w:cs="Arial"/>
          <w:i/>
          <w:sz w:val="24"/>
          <w:szCs w:val="24"/>
        </w:rPr>
        <w:t>iSEI</w:t>
      </w:r>
      <w:proofErr w:type="spellEnd"/>
      <w:r w:rsidR="00A053CE" w:rsidRPr="000767AE">
        <w:rPr>
          <w:rFonts w:ascii="Arial" w:eastAsia="Times New Roman" w:hAnsi="Arial" w:cs="Arial"/>
          <w:i/>
          <w:sz w:val="24"/>
          <w:szCs w:val="24"/>
        </w:rPr>
        <w:t xml:space="preserve">), </w:t>
      </w:r>
      <w:r w:rsidR="00C80B7D" w:rsidRPr="000767AE">
        <w:rPr>
          <w:rFonts w:ascii="Arial" w:eastAsia="Times New Roman" w:hAnsi="Arial" w:cs="Arial"/>
          <w:i/>
          <w:sz w:val="24"/>
          <w:szCs w:val="24"/>
        </w:rPr>
        <w:t>University of Manchester, Oxford Road, Manchester, M13 9PL. UK.</w:t>
      </w:r>
    </w:p>
    <w:p w14:paraId="719C91D5" w14:textId="77777777" w:rsidR="00A053CE" w:rsidRPr="000767AE" w:rsidRDefault="00A053CE" w:rsidP="00A053CE">
      <w:pPr>
        <w:rPr>
          <w:rFonts w:ascii="Arial" w:eastAsia="Times New Roman" w:hAnsi="Arial" w:cs="Arial"/>
          <w:i/>
          <w:sz w:val="24"/>
          <w:szCs w:val="24"/>
        </w:rPr>
      </w:pPr>
    </w:p>
    <w:p w14:paraId="1E938CD2" w14:textId="0A5055D3" w:rsidR="00A053CE" w:rsidRPr="000767AE" w:rsidRDefault="006E435E" w:rsidP="00A053CE">
      <w:pPr>
        <w:rPr>
          <w:rFonts w:ascii="Arial" w:eastAsia="Times New Roman" w:hAnsi="Arial" w:cs="Arial"/>
          <w:i/>
          <w:sz w:val="24"/>
          <w:szCs w:val="24"/>
          <w:lang w:val="en-US"/>
        </w:rPr>
      </w:pPr>
      <w:r w:rsidRPr="000767AE">
        <w:rPr>
          <w:rFonts w:ascii="Arial" w:eastAsia="Times New Roman" w:hAnsi="Arial" w:cs="Arial"/>
          <w:i/>
          <w:sz w:val="24"/>
          <w:szCs w:val="24"/>
          <w:lang w:val="en-US"/>
        </w:rPr>
        <w:t>6</w:t>
      </w:r>
      <w:r w:rsidR="00A053CE" w:rsidRPr="000767AE">
        <w:rPr>
          <w:rFonts w:ascii="Arial" w:eastAsia="Times New Roman" w:hAnsi="Arial" w:cs="Arial"/>
          <w:i/>
          <w:sz w:val="24"/>
          <w:szCs w:val="24"/>
          <w:lang w:val="en-US"/>
        </w:rPr>
        <w:t xml:space="preserve">. </w:t>
      </w:r>
      <w:r w:rsidR="00376F82" w:rsidRPr="000767AE">
        <w:rPr>
          <w:rFonts w:ascii="Arial" w:eastAsia="Times New Roman" w:hAnsi="Arial" w:cs="Arial"/>
          <w:i/>
          <w:sz w:val="24"/>
          <w:szCs w:val="24"/>
          <w:lang w:val="en-US"/>
        </w:rPr>
        <w:t xml:space="preserve">Oxford Clinical Research Unit, </w:t>
      </w:r>
      <w:proofErr w:type="spellStart"/>
      <w:r w:rsidR="00A053CE" w:rsidRPr="000767AE">
        <w:rPr>
          <w:rFonts w:ascii="Arial" w:eastAsia="Times New Roman" w:hAnsi="Arial" w:cs="Arial"/>
          <w:i/>
          <w:sz w:val="24"/>
          <w:szCs w:val="24"/>
          <w:lang w:val="en-US"/>
        </w:rPr>
        <w:t>Patan</w:t>
      </w:r>
      <w:proofErr w:type="spellEnd"/>
      <w:r w:rsidR="00A053CE" w:rsidRPr="000767AE">
        <w:rPr>
          <w:rFonts w:ascii="Arial" w:eastAsia="Times New Roman" w:hAnsi="Arial" w:cs="Arial"/>
          <w:i/>
          <w:sz w:val="24"/>
          <w:szCs w:val="24"/>
          <w:lang w:val="en-US"/>
        </w:rPr>
        <w:t xml:space="preserve"> </w:t>
      </w:r>
      <w:r w:rsidR="007C3760" w:rsidRPr="000767AE">
        <w:rPr>
          <w:rFonts w:ascii="Arial" w:eastAsia="Times New Roman" w:hAnsi="Arial" w:cs="Arial"/>
          <w:i/>
          <w:sz w:val="24"/>
          <w:szCs w:val="24"/>
          <w:lang w:val="en-US"/>
        </w:rPr>
        <w:t>Academy</w:t>
      </w:r>
      <w:r w:rsidR="00376F82" w:rsidRPr="000767AE">
        <w:rPr>
          <w:rFonts w:ascii="Arial" w:eastAsia="Times New Roman" w:hAnsi="Arial" w:cs="Arial"/>
          <w:i/>
          <w:sz w:val="24"/>
          <w:szCs w:val="24"/>
          <w:lang w:val="en-US"/>
        </w:rPr>
        <w:t xml:space="preserve"> of Health Sciences,</w:t>
      </w:r>
      <w:r w:rsidR="00A053CE" w:rsidRPr="000767AE">
        <w:rPr>
          <w:rFonts w:ascii="Arial" w:eastAsia="Times New Roman" w:hAnsi="Arial" w:cs="Arial"/>
          <w:i/>
          <w:sz w:val="24"/>
          <w:szCs w:val="24"/>
          <w:lang w:val="en-US"/>
        </w:rPr>
        <w:t xml:space="preserve"> Kathmandu, Nepal</w:t>
      </w:r>
      <w:r w:rsidR="00376F82" w:rsidRPr="000767AE">
        <w:rPr>
          <w:rFonts w:ascii="Arial" w:eastAsia="Times New Roman" w:hAnsi="Arial" w:cs="Arial"/>
          <w:i/>
          <w:sz w:val="24"/>
          <w:szCs w:val="24"/>
          <w:lang w:val="en-US"/>
        </w:rPr>
        <w:t>.</w:t>
      </w:r>
    </w:p>
    <w:p w14:paraId="1D8E1242" w14:textId="77777777" w:rsidR="00A053CE" w:rsidRPr="000767AE" w:rsidRDefault="00A053CE" w:rsidP="00A053CE">
      <w:pPr>
        <w:rPr>
          <w:rFonts w:ascii="Arial" w:eastAsia="Times New Roman" w:hAnsi="Arial" w:cs="Arial"/>
          <w:i/>
          <w:sz w:val="24"/>
          <w:szCs w:val="24"/>
          <w:lang w:val="en-US"/>
        </w:rPr>
      </w:pPr>
    </w:p>
    <w:p w14:paraId="6E5F29C4" w14:textId="44BD9807" w:rsidR="00A053CE" w:rsidRPr="000767AE" w:rsidRDefault="006E435E" w:rsidP="00A053CE">
      <w:pPr>
        <w:rPr>
          <w:rFonts w:ascii="Arial" w:eastAsia="Times New Roman" w:hAnsi="Arial" w:cs="Arial"/>
          <w:i/>
          <w:sz w:val="24"/>
          <w:szCs w:val="24"/>
        </w:rPr>
      </w:pPr>
      <w:r w:rsidRPr="000767AE">
        <w:rPr>
          <w:rFonts w:ascii="Arial" w:hAnsi="Arial" w:cs="Arial"/>
          <w:i/>
          <w:iCs/>
          <w:sz w:val="24"/>
          <w:szCs w:val="24"/>
        </w:rPr>
        <w:t>7</w:t>
      </w:r>
      <w:r w:rsidR="00A053CE" w:rsidRPr="000767AE">
        <w:rPr>
          <w:rFonts w:ascii="Arial" w:hAnsi="Arial" w:cs="Arial"/>
          <w:i/>
          <w:iCs/>
          <w:sz w:val="24"/>
          <w:szCs w:val="24"/>
        </w:rPr>
        <w:t xml:space="preserve">. </w:t>
      </w:r>
      <w:r w:rsidR="00A053CE" w:rsidRPr="000767AE">
        <w:rPr>
          <w:rFonts w:ascii="Arial" w:hAnsi="Arial" w:cs="Arial"/>
          <w:i/>
          <w:sz w:val="24"/>
          <w:szCs w:val="24"/>
        </w:rPr>
        <w:t xml:space="preserve">Worldwide Antimalarial Resistance Network (WWARN), University of Oxford, </w:t>
      </w:r>
      <w:r w:rsidR="00603668" w:rsidRPr="000767AE">
        <w:rPr>
          <w:rFonts w:ascii="Arial" w:hAnsi="Arial" w:cs="Arial"/>
          <w:i/>
          <w:sz w:val="24"/>
          <w:szCs w:val="24"/>
        </w:rPr>
        <w:t>OX3 7</w:t>
      </w:r>
      <w:r w:rsidR="00845258" w:rsidRPr="000767AE">
        <w:rPr>
          <w:rFonts w:ascii="Arial" w:hAnsi="Arial" w:cs="Arial"/>
          <w:i/>
          <w:sz w:val="24"/>
          <w:szCs w:val="24"/>
        </w:rPr>
        <w:t>LE</w:t>
      </w:r>
      <w:r w:rsidR="00603668" w:rsidRPr="000767AE">
        <w:rPr>
          <w:rFonts w:ascii="Arial" w:hAnsi="Arial" w:cs="Arial"/>
          <w:i/>
          <w:sz w:val="24"/>
          <w:szCs w:val="24"/>
        </w:rPr>
        <w:t>.</w:t>
      </w:r>
      <w:r w:rsidR="00603668" w:rsidRPr="000767AE">
        <w:rPr>
          <w:rFonts w:ascii="Verdana" w:hAnsi="Verdana"/>
          <w:color w:val="666666"/>
          <w:sz w:val="17"/>
          <w:szCs w:val="17"/>
          <w:shd w:val="clear" w:color="auto" w:fill="FFFFFF"/>
        </w:rPr>
        <w:t xml:space="preserve"> </w:t>
      </w:r>
      <w:r w:rsidR="00A053CE" w:rsidRPr="000767AE">
        <w:rPr>
          <w:rFonts w:ascii="Arial" w:hAnsi="Arial" w:cs="Arial"/>
          <w:i/>
          <w:sz w:val="24"/>
          <w:szCs w:val="24"/>
        </w:rPr>
        <w:t>UK</w:t>
      </w:r>
      <w:r w:rsidR="00376F82" w:rsidRPr="000767AE">
        <w:rPr>
          <w:rFonts w:ascii="Arial" w:hAnsi="Arial" w:cs="Arial"/>
          <w:i/>
          <w:sz w:val="24"/>
          <w:szCs w:val="24"/>
        </w:rPr>
        <w:t>.</w:t>
      </w:r>
      <w:r w:rsidR="00A053CE" w:rsidRPr="000767AE">
        <w:rPr>
          <w:rFonts w:ascii="Arial" w:eastAsia="Times New Roman" w:hAnsi="Arial" w:cs="Arial"/>
          <w:i/>
          <w:sz w:val="24"/>
          <w:szCs w:val="24"/>
        </w:rPr>
        <w:t xml:space="preserve"> </w:t>
      </w:r>
    </w:p>
    <w:p w14:paraId="53D24275" w14:textId="77777777" w:rsidR="00A053CE" w:rsidRPr="000767AE" w:rsidRDefault="00A053CE" w:rsidP="00A053CE">
      <w:pPr>
        <w:rPr>
          <w:rFonts w:ascii="Arial" w:eastAsia="Times New Roman" w:hAnsi="Arial" w:cs="Arial"/>
          <w:i/>
          <w:sz w:val="24"/>
          <w:szCs w:val="24"/>
        </w:rPr>
      </w:pPr>
    </w:p>
    <w:p w14:paraId="444C5EE4" w14:textId="58917095" w:rsidR="00A053CE" w:rsidRPr="000767AE" w:rsidRDefault="006E435E" w:rsidP="00A053CE">
      <w:pPr>
        <w:rPr>
          <w:rFonts w:ascii="Arial" w:hAnsi="Arial" w:cs="Arial"/>
          <w:i/>
          <w:sz w:val="24"/>
          <w:szCs w:val="24"/>
        </w:rPr>
      </w:pPr>
      <w:r w:rsidRPr="000767AE">
        <w:rPr>
          <w:rFonts w:ascii="Arial" w:eastAsia="Times New Roman" w:hAnsi="Arial" w:cs="Arial"/>
          <w:i/>
          <w:sz w:val="24"/>
          <w:szCs w:val="24"/>
        </w:rPr>
        <w:t>8</w:t>
      </w:r>
      <w:r w:rsidR="00A053CE" w:rsidRPr="000767AE">
        <w:rPr>
          <w:rFonts w:ascii="Arial" w:eastAsia="Times New Roman" w:hAnsi="Arial" w:cs="Arial"/>
          <w:i/>
          <w:sz w:val="24"/>
          <w:szCs w:val="24"/>
        </w:rPr>
        <w:t xml:space="preserve">. </w:t>
      </w:r>
      <w:r w:rsidR="00A053CE" w:rsidRPr="000767AE">
        <w:rPr>
          <w:rFonts w:ascii="Arial" w:hAnsi="Arial" w:cs="Arial"/>
          <w:i/>
          <w:sz w:val="24"/>
          <w:szCs w:val="24"/>
        </w:rPr>
        <w:t>Centre for Tropical Medicine</w:t>
      </w:r>
      <w:r w:rsidR="00845258" w:rsidRPr="000767AE">
        <w:rPr>
          <w:rFonts w:ascii="Arial" w:hAnsi="Arial" w:cs="Arial"/>
          <w:i/>
          <w:sz w:val="24"/>
          <w:szCs w:val="24"/>
        </w:rPr>
        <w:t xml:space="preserve"> and Global </w:t>
      </w:r>
      <w:r w:rsidR="007C3760" w:rsidRPr="000767AE">
        <w:rPr>
          <w:rFonts w:ascii="Arial" w:hAnsi="Arial" w:cs="Arial"/>
          <w:i/>
          <w:sz w:val="24"/>
          <w:szCs w:val="24"/>
        </w:rPr>
        <w:t>Health</w:t>
      </w:r>
      <w:r w:rsidR="00A053CE" w:rsidRPr="000767AE">
        <w:rPr>
          <w:rFonts w:ascii="Arial" w:hAnsi="Arial" w:cs="Arial"/>
          <w:i/>
          <w:sz w:val="24"/>
          <w:szCs w:val="24"/>
        </w:rPr>
        <w:t xml:space="preserve">, Nuffield Department of Medicine, University of Oxford, </w:t>
      </w:r>
      <w:r w:rsidR="00C80B7D" w:rsidRPr="000767AE">
        <w:rPr>
          <w:rFonts w:ascii="Arial" w:hAnsi="Arial" w:cs="Arial"/>
          <w:i/>
          <w:sz w:val="24"/>
          <w:szCs w:val="24"/>
        </w:rPr>
        <w:t>OX3 7</w:t>
      </w:r>
      <w:r w:rsidR="00845258" w:rsidRPr="000767AE">
        <w:rPr>
          <w:rFonts w:ascii="Arial" w:hAnsi="Arial" w:cs="Arial"/>
          <w:i/>
          <w:sz w:val="24"/>
          <w:szCs w:val="24"/>
        </w:rPr>
        <w:t>LE</w:t>
      </w:r>
      <w:r w:rsidR="00C80B7D" w:rsidRPr="000767AE">
        <w:rPr>
          <w:rFonts w:ascii="Arial" w:hAnsi="Arial" w:cs="Arial"/>
          <w:i/>
          <w:sz w:val="24"/>
          <w:szCs w:val="24"/>
        </w:rPr>
        <w:t>.</w:t>
      </w:r>
      <w:r w:rsidR="00C80B7D" w:rsidRPr="000767AE">
        <w:rPr>
          <w:rFonts w:ascii="Verdana" w:hAnsi="Verdana"/>
          <w:color w:val="666666"/>
          <w:sz w:val="17"/>
          <w:szCs w:val="17"/>
          <w:shd w:val="clear" w:color="auto" w:fill="FFFFFF"/>
        </w:rPr>
        <w:t xml:space="preserve"> </w:t>
      </w:r>
      <w:r w:rsidR="00A053CE" w:rsidRPr="000767AE">
        <w:rPr>
          <w:rFonts w:ascii="Arial" w:hAnsi="Arial" w:cs="Arial"/>
          <w:i/>
          <w:sz w:val="24"/>
          <w:szCs w:val="24"/>
        </w:rPr>
        <w:t>UK.</w:t>
      </w:r>
    </w:p>
    <w:p w14:paraId="40E1293E" w14:textId="77777777" w:rsidR="00A053CE" w:rsidRPr="000767AE" w:rsidRDefault="00A053CE" w:rsidP="00A053CE">
      <w:pPr>
        <w:rPr>
          <w:rFonts w:ascii="Arial" w:hAnsi="Arial" w:cs="Arial"/>
          <w:i/>
          <w:sz w:val="24"/>
          <w:szCs w:val="24"/>
        </w:rPr>
      </w:pPr>
    </w:p>
    <w:p w14:paraId="18F81641" w14:textId="77777777" w:rsidR="00A053CE" w:rsidRPr="000767AE" w:rsidRDefault="006E435E" w:rsidP="00A053CE">
      <w:pPr>
        <w:rPr>
          <w:rFonts w:ascii="Arial" w:eastAsia="Times New Roman" w:hAnsi="Arial" w:cs="Arial"/>
          <w:i/>
          <w:sz w:val="24"/>
          <w:szCs w:val="24"/>
        </w:rPr>
      </w:pPr>
      <w:r w:rsidRPr="000767AE">
        <w:rPr>
          <w:rFonts w:ascii="Arial" w:eastAsia="Times New Roman" w:hAnsi="Arial" w:cs="Arial"/>
          <w:i/>
          <w:sz w:val="24"/>
          <w:szCs w:val="24"/>
        </w:rPr>
        <w:t>9</w:t>
      </w:r>
      <w:r w:rsidR="00A053CE" w:rsidRPr="000767AE">
        <w:rPr>
          <w:rFonts w:ascii="Arial" w:eastAsia="Times New Roman" w:hAnsi="Arial" w:cs="Arial"/>
          <w:i/>
          <w:sz w:val="24"/>
          <w:szCs w:val="24"/>
        </w:rPr>
        <w:t xml:space="preserve">. </w:t>
      </w:r>
      <w:r w:rsidR="00A053CE" w:rsidRPr="000767AE">
        <w:rPr>
          <w:rFonts w:ascii="Arial" w:hAnsi="Arial" w:cs="Arial"/>
          <w:i/>
          <w:sz w:val="24"/>
          <w:szCs w:val="24"/>
        </w:rPr>
        <w:t xml:space="preserve">Antimicrobials Research Group, School of Immunity and Infection and Institute for Microbiology and Infection, University of Birmingham, Edgbaston, Birmingham, B15 2TT. </w:t>
      </w:r>
      <w:r w:rsidRPr="000767AE">
        <w:rPr>
          <w:rFonts w:ascii="Arial" w:hAnsi="Arial" w:cs="Arial"/>
          <w:i/>
          <w:sz w:val="24"/>
          <w:szCs w:val="24"/>
        </w:rPr>
        <w:t>UK.</w:t>
      </w:r>
      <w:r w:rsidR="00A053CE" w:rsidRPr="000767AE">
        <w:rPr>
          <w:rFonts w:ascii="Arial" w:hAnsi="Arial" w:cs="Arial"/>
          <w:i/>
          <w:sz w:val="24"/>
          <w:szCs w:val="24"/>
        </w:rPr>
        <w:t xml:space="preserve"> </w:t>
      </w:r>
    </w:p>
    <w:p w14:paraId="007A7038" w14:textId="77777777" w:rsidR="00A053CE" w:rsidRPr="000767AE" w:rsidRDefault="00A053CE" w:rsidP="00A053CE">
      <w:pPr>
        <w:rPr>
          <w:rFonts w:ascii="Arial" w:hAnsi="Arial" w:cs="Arial"/>
          <w:sz w:val="24"/>
          <w:szCs w:val="24"/>
        </w:rPr>
      </w:pPr>
    </w:p>
    <w:p w14:paraId="742FB516" w14:textId="77777777" w:rsidR="00A053CE" w:rsidRPr="000767AE" w:rsidRDefault="00A053CE" w:rsidP="00A053CE">
      <w:pPr>
        <w:rPr>
          <w:rFonts w:ascii="Arial" w:hAnsi="Arial" w:cs="Arial"/>
          <w:sz w:val="24"/>
          <w:szCs w:val="24"/>
        </w:rPr>
      </w:pPr>
    </w:p>
    <w:p w14:paraId="27FD9345" w14:textId="09DCE60A" w:rsidR="00C702E7" w:rsidRPr="000767AE" w:rsidRDefault="006332E3" w:rsidP="00C702E7">
      <w:pPr>
        <w:rPr>
          <w:rFonts w:ascii="Arial" w:hAnsi="Arial" w:cs="Arial"/>
          <w:sz w:val="24"/>
          <w:szCs w:val="24"/>
        </w:rPr>
      </w:pPr>
      <w:r w:rsidRPr="000767AE">
        <w:rPr>
          <w:rFonts w:ascii="Arial" w:eastAsiaTheme="majorEastAsia" w:hAnsi="Arial" w:cstheme="majorBidi"/>
          <w:b/>
          <w:color w:val="365F91" w:themeColor="accent1" w:themeShade="BF"/>
          <w:sz w:val="24"/>
          <w:szCs w:val="26"/>
        </w:rPr>
        <w:t>*</w:t>
      </w:r>
      <w:r w:rsidR="00A053CE" w:rsidRPr="000767AE">
        <w:rPr>
          <w:rFonts w:ascii="Arial" w:eastAsiaTheme="majorEastAsia" w:hAnsi="Arial" w:cstheme="majorBidi"/>
          <w:b/>
          <w:color w:val="365F91" w:themeColor="accent1" w:themeShade="BF"/>
          <w:sz w:val="24"/>
          <w:szCs w:val="26"/>
        </w:rPr>
        <w:t>Corresponding author:</w:t>
      </w:r>
      <w:r w:rsidR="00A053CE" w:rsidRPr="000767AE">
        <w:rPr>
          <w:rFonts w:ascii="Arial" w:eastAsia="Times New Roman" w:hAnsi="Arial" w:cs="Arial"/>
          <w:sz w:val="24"/>
          <w:szCs w:val="24"/>
        </w:rPr>
        <w:t xml:space="preserve">  </w:t>
      </w:r>
      <w:r w:rsidR="00130A1F" w:rsidRPr="000767AE">
        <w:rPr>
          <w:rFonts w:ascii="Arial" w:hAnsi="Arial" w:cs="Arial"/>
          <w:sz w:val="24"/>
          <w:szCs w:val="24"/>
        </w:rPr>
        <w:t xml:space="preserve">Prof </w:t>
      </w:r>
      <w:r w:rsidR="00A053CE" w:rsidRPr="000767AE">
        <w:rPr>
          <w:rFonts w:ascii="Arial" w:hAnsi="Arial" w:cs="Arial"/>
          <w:sz w:val="24"/>
          <w:szCs w:val="24"/>
        </w:rPr>
        <w:t>A.H. Holmes</w:t>
      </w:r>
      <w:r w:rsidR="00130A1F" w:rsidRPr="000767AE">
        <w:rPr>
          <w:rFonts w:ascii="Arial" w:hAnsi="Arial" w:cs="Arial"/>
          <w:sz w:val="24"/>
          <w:szCs w:val="24"/>
        </w:rPr>
        <w:t>.</w:t>
      </w:r>
      <w:r w:rsidR="00A053CE" w:rsidRPr="000767AE">
        <w:rPr>
          <w:rFonts w:ascii="Arial" w:hAnsi="Arial" w:cs="Arial"/>
          <w:sz w:val="24"/>
          <w:szCs w:val="24"/>
        </w:rPr>
        <w:t xml:space="preserve"> </w:t>
      </w:r>
      <w:r w:rsidR="00C702E7" w:rsidRPr="000767AE">
        <w:rPr>
          <w:rFonts w:ascii="Arial" w:hAnsi="Arial" w:cs="Arial"/>
          <w:sz w:val="24"/>
          <w:szCs w:val="24"/>
        </w:rPr>
        <w:t>NIHR Health Protection Research Unit</w:t>
      </w:r>
    </w:p>
    <w:p w14:paraId="6542F54B" w14:textId="2DAFD4EB" w:rsidR="00A053CE" w:rsidRPr="000767AE" w:rsidRDefault="00C702E7" w:rsidP="00A053CE">
      <w:pPr>
        <w:rPr>
          <w:rFonts w:ascii="Arial" w:hAnsi="Arial"/>
          <w:sz w:val="24"/>
        </w:rPr>
      </w:pPr>
      <w:r w:rsidRPr="000767AE">
        <w:rPr>
          <w:rFonts w:ascii="Arial" w:hAnsi="Arial" w:cs="Arial"/>
          <w:sz w:val="24"/>
          <w:szCs w:val="24"/>
        </w:rPr>
        <w:t>In Healthcare Associated Infection and Antimicrobial Resistance, Imperial College London</w:t>
      </w:r>
      <w:r w:rsidR="00A053CE" w:rsidRPr="000767AE">
        <w:rPr>
          <w:rFonts w:ascii="Arial" w:hAnsi="Arial" w:cs="Arial"/>
          <w:sz w:val="24"/>
          <w:szCs w:val="24"/>
          <w:shd w:val="clear" w:color="auto" w:fill="FFFFFF"/>
        </w:rPr>
        <w:t xml:space="preserve">, Hammersmith Campus, Du Cane Road, London. </w:t>
      </w:r>
      <w:proofErr w:type="gramStart"/>
      <w:r w:rsidR="00A053CE" w:rsidRPr="000767AE">
        <w:rPr>
          <w:rFonts w:ascii="Arial" w:hAnsi="Arial" w:cs="Arial"/>
          <w:sz w:val="24"/>
          <w:szCs w:val="24"/>
          <w:shd w:val="clear" w:color="auto" w:fill="FFFFFF"/>
        </w:rPr>
        <w:t>W12 0HS.</w:t>
      </w:r>
      <w:proofErr w:type="gramEnd"/>
      <w:r w:rsidR="00A053CE" w:rsidRPr="000767AE">
        <w:rPr>
          <w:rFonts w:ascii="Arial" w:hAnsi="Arial" w:cs="Arial"/>
          <w:sz w:val="24"/>
          <w:szCs w:val="24"/>
          <w:shd w:val="clear" w:color="auto" w:fill="FFFFFF"/>
        </w:rPr>
        <w:t xml:space="preserve"> </w:t>
      </w:r>
      <w:r w:rsidR="00A053CE" w:rsidRPr="000767AE">
        <w:rPr>
          <w:rFonts w:ascii="Arial" w:hAnsi="Arial" w:cs="Arial"/>
          <w:sz w:val="24"/>
          <w:szCs w:val="24"/>
        </w:rPr>
        <w:t xml:space="preserve">United Kingdom. </w:t>
      </w:r>
      <w:hyperlink r:id="rId9" w:history="1">
        <w:r w:rsidR="00A053CE" w:rsidRPr="000767AE">
          <w:rPr>
            <w:rStyle w:val="Hyperlink"/>
            <w:rFonts w:ascii="Arial" w:hAnsi="Arial" w:cs="Arial"/>
            <w:sz w:val="24"/>
            <w:szCs w:val="24"/>
          </w:rPr>
          <w:t>alison.holmes@imperial.ac.uk</w:t>
        </w:r>
      </w:hyperlink>
      <w:r w:rsidR="00A053CE" w:rsidRPr="000767AE">
        <w:rPr>
          <w:rFonts w:ascii="Arial" w:hAnsi="Arial" w:cs="Arial"/>
          <w:sz w:val="24"/>
          <w:szCs w:val="24"/>
        </w:rPr>
        <w:t xml:space="preserve"> (+44 208 383 3248)</w:t>
      </w:r>
    </w:p>
    <w:p w14:paraId="55F040BD" w14:textId="77777777" w:rsidR="00FF15E1" w:rsidRPr="000767AE" w:rsidRDefault="00FF15E1">
      <w:pPr>
        <w:spacing w:after="200" w:line="276" w:lineRule="auto"/>
        <w:rPr>
          <w:rFonts w:ascii="Arial" w:hAnsi="Arial"/>
          <w:sz w:val="24"/>
        </w:rPr>
      </w:pPr>
      <w:r w:rsidRPr="000767AE">
        <w:rPr>
          <w:rFonts w:ascii="Arial" w:hAnsi="Arial"/>
          <w:sz w:val="24"/>
        </w:rPr>
        <w:br w:type="page"/>
      </w:r>
    </w:p>
    <w:p w14:paraId="40575F49" w14:textId="77777777" w:rsidR="00FF15E1" w:rsidRPr="000767AE" w:rsidRDefault="00FF15E1" w:rsidP="00462FA2">
      <w:pPr>
        <w:pStyle w:val="Heading2"/>
        <w:spacing w:before="0"/>
        <w:rPr>
          <w:rFonts w:ascii="Arial" w:hAnsi="Arial"/>
          <w:b/>
          <w:sz w:val="24"/>
        </w:rPr>
      </w:pPr>
      <w:r w:rsidRPr="000767AE">
        <w:rPr>
          <w:rFonts w:ascii="Arial" w:hAnsi="Arial"/>
          <w:b/>
          <w:sz w:val="24"/>
        </w:rPr>
        <w:lastRenderedPageBreak/>
        <w:t>Abstract:</w:t>
      </w:r>
    </w:p>
    <w:p w14:paraId="1F1F23FD" w14:textId="6477C7D9" w:rsidR="005F75AD" w:rsidRPr="000767AE" w:rsidRDefault="00B53326" w:rsidP="005F75AD">
      <w:pPr>
        <w:rPr>
          <w:rFonts w:ascii="Arial" w:hAnsi="Arial" w:cs="Arial"/>
          <w:sz w:val="24"/>
          <w:szCs w:val="24"/>
        </w:rPr>
      </w:pPr>
      <w:r w:rsidRPr="000767AE">
        <w:rPr>
          <w:rFonts w:ascii="Arial" w:hAnsi="Arial"/>
          <w:sz w:val="24"/>
        </w:rPr>
        <w:t>C</w:t>
      </w:r>
      <w:r w:rsidR="005F75AD" w:rsidRPr="000767AE">
        <w:rPr>
          <w:rFonts w:ascii="Arial" w:hAnsi="Arial"/>
          <w:sz w:val="24"/>
        </w:rPr>
        <w:t>ombat</w:t>
      </w:r>
      <w:r w:rsidRPr="000767AE">
        <w:rPr>
          <w:rFonts w:ascii="Arial" w:hAnsi="Arial"/>
          <w:sz w:val="24"/>
        </w:rPr>
        <w:t>ing</w:t>
      </w:r>
      <w:r w:rsidR="005F75AD" w:rsidRPr="000767AE">
        <w:rPr>
          <w:rFonts w:ascii="Arial" w:hAnsi="Arial"/>
          <w:sz w:val="24"/>
        </w:rPr>
        <w:t xml:space="preserve"> the</w:t>
      </w:r>
      <w:r w:rsidR="00496123" w:rsidRPr="000767AE">
        <w:rPr>
          <w:rFonts w:ascii="Arial" w:hAnsi="Arial"/>
          <w:sz w:val="24"/>
        </w:rPr>
        <w:t xml:space="preserve"> </w:t>
      </w:r>
      <w:r w:rsidR="004C6802" w:rsidRPr="000767AE">
        <w:rPr>
          <w:rFonts w:ascii="Arial" w:hAnsi="Arial"/>
          <w:sz w:val="24"/>
        </w:rPr>
        <w:t xml:space="preserve">threat to human health and biosecurity from </w:t>
      </w:r>
      <w:r w:rsidR="005F75AD" w:rsidRPr="000767AE">
        <w:rPr>
          <w:rFonts w:ascii="Arial" w:hAnsi="Arial"/>
          <w:sz w:val="24"/>
        </w:rPr>
        <w:t>antimicrobial resistance</w:t>
      </w:r>
      <w:r w:rsidR="0025614C" w:rsidRPr="000767AE">
        <w:rPr>
          <w:rFonts w:ascii="Arial" w:hAnsi="Arial"/>
          <w:sz w:val="24"/>
        </w:rPr>
        <w:t xml:space="preserve"> (AMR)</w:t>
      </w:r>
      <w:r w:rsidR="005F75AD" w:rsidRPr="000767AE">
        <w:rPr>
          <w:rFonts w:ascii="Arial" w:hAnsi="Arial"/>
          <w:sz w:val="24"/>
        </w:rPr>
        <w:t xml:space="preserve"> </w:t>
      </w:r>
      <w:r w:rsidR="0023644C" w:rsidRPr="000767AE">
        <w:rPr>
          <w:rFonts w:ascii="Arial" w:hAnsi="Arial"/>
          <w:sz w:val="24"/>
        </w:rPr>
        <w:t xml:space="preserve">requires </w:t>
      </w:r>
      <w:r w:rsidR="00657B13" w:rsidRPr="000767AE">
        <w:rPr>
          <w:rFonts w:ascii="Arial" w:hAnsi="Arial"/>
          <w:sz w:val="24"/>
        </w:rPr>
        <w:t>an understanding of</w:t>
      </w:r>
      <w:r w:rsidR="004C6802" w:rsidRPr="000767AE">
        <w:rPr>
          <w:rFonts w:ascii="Arial" w:hAnsi="Arial"/>
          <w:sz w:val="24"/>
        </w:rPr>
        <w:t xml:space="preserve"> </w:t>
      </w:r>
      <w:r w:rsidR="00FA6483" w:rsidRPr="000767AE">
        <w:rPr>
          <w:rFonts w:ascii="Arial" w:hAnsi="Arial"/>
          <w:sz w:val="24"/>
        </w:rPr>
        <w:t xml:space="preserve">its </w:t>
      </w:r>
      <w:r w:rsidR="005F75AD" w:rsidRPr="000767AE">
        <w:rPr>
          <w:rFonts w:ascii="Arial" w:hAnsi="Arial"/>
          <w:sz w:val="24"/>
        </w:rPr>
        <w:t xml:space="preserve">mechanisms and drivers. Emergence of </w:t>
      </w:r>
      <w:r w:rsidR="004C6802" w:rsidRPr="000767AE">
        <w:rPr>
          <w:rFonts w:ascii="Arial" w:hAnsi="Arial"/>
          <w:sz w:val="24"/>
        </w:rPr>
        <w:t>AMR</w:t>
      </w:r>
      <w:r w:rsidR="005F75AD" w:rsidRPr="000767AE">
        <w:rPr>
          <w:rFonts w:ascii="Arial" w:hAnsi="Arial"/>
          <w:sz w:val="24"/>
        </w:rPr>
        <w:t xml:space="preserve"> among micro-organisms is a natural phenomenon</w:t>
      </w:r>
      <w:r w:rsidR="004C6802" w:rsidRPr="000767AE">
        <w:rPr>
          <w:rFonts w:ascii="Arial" w:hAnsi="Arial"/>
          <w:sz w:val="24"/>
        </w:rPr>
        <w:t xml:space="preserve">, </w:t>
      </w:r>
      <w:r w:rsidR="00C702E7" w:rsidRPr="000767AE">
        <w:rPr>
          <w:rFonts w:ascii="Arial" w:hAnsi="Arial"/>
          <w:sz w:val="24"/>
        </w:rPr>
        <w:t xml:space="preserve">yet </w:t>
      </w:r>
      <w:r w:rsidR="00B06F36" w:rsidRPr="000767AE">
        <w:rPr>
          <w:rFonts w:ascii="Arial" w:hAnsi="Arial"/>
          <w:sz w:val="24"/>
        </w:rPr>
        <w:t xml:space="preserve">AMR </w:t>
      </w:r>
      <w:r w:rsidR="005F75AD" w:rsidRPr="000767AE">
        <w:rPr>
          <w:rFonts w:ascii="Arial" w:hAnsi="Arial"/>
          <w:sz w:val="24"/>
        </w:rPr>
        <w:t xml:space="preserve">selection has been driven by antimicrobial </w:t>
      </w:r>
      <w:r w:rsidR="00F01D7F" w:rsidRPr="000767AE">
        <w:rPr>
          <w:rFonts w:ascii="Arial" w:hAnsi="Arial"/>
          <w:sz w:val="24"/>
        </w:rPr>
        <w:t>exposure</w:t>
      </w:r>
      <w:r w:rsidR="004C6802" w:rsidRPr="000767AE">
        <w:rPr>
          <w:rFonts w:ascii="Arial" w:hAnsi="Arial"/>
          <w:sz w:val="24"/>
        </w:rPr>
        <w:t xml:space="preserve"> </w:t>
      </w:r>
      <w:r w:rsidR="00F01D7F" w:rsidRPr="000767AE">
        <w:rPr>
          <w:rFonts w:ascii="Arial" w:hAnsi="Arial"/>
          <w:sz w:val="24"/>
        </w:rPr>
        <w:t>in healthcare</w:t>
      </w:r>
      <w:r w:rsidR="00020300" w:rsidRPr="000767AE">
        <w:rPr>
          <w:rFonts w:ascii="Arial" w:hAnsi="Arial"/>
          <w:sz w:val="24"/>
        </w:rPr>
        <w:t>,</w:t>
      </w:r>
      <w:r w:rsidR="00F01D7F" w:rsidRPr="000767AE">
        <w:rPr>
          <w:rFonts w:ascii="Arial" w:hAnsi="Arial"/>
          <w:sz w:val="24"/>
        </w:rPr>
        <w:t xml:space="preserve"> agriculture</w:t>
      </w:r>
      <w:r w:rsidR="00020300" w:rsidRPr="000767AE">
        <w:rPr>
          <w:rFonts w:ascii="Arial" w:hAnsi="Arial"/>
          <w:sz w:val="24"/>
        </w:rPr>
        <w:t xml:space="preserve"> and the environment</w:t>
      </w:r>
      <w:r w:rsidR="005F75AD" w:rsidRPr="000767AE">
        <w:rPr>
          <w:rFonts w:ascii="Arial" w:hAnsi="Arial"/>
          <w:sz w:val="24"/>
        </w:rPr>
        <w:t xml:space="preserve">. </w:t>
      </w:r>
      <w:r w:rsidR="00020300" w:rsidRPr="000767AE">
        <w:rPr>
          <w:rFonts w:ascii="Arial" w:hAnsi="Arial"/>
          <w:sz w:val="24"/>
        </w:rPr>
        <w:t xml:space="preserve">Onward </w:t>
      </w:r>
      <w:r w:rsidR="00DF4035" w:rsidRPr="000767AE">
        <w:rPr>
          <w:rFonts w:ascii="Arial" w:hAnsi="Arial"/>
          <w:sz w:val="24"/>
        </w:rPr>
        <w:t>transmission</w:t>
      </w:r>
      <w:r w:rsidR="005F75AD" w:rsidRPr="000767AE">
        <w:rPr>
          <w:rFonts w:ascii="Arial" w:hAnsi="Arial"/>
          <w:sz w:val="24"/>
        </w:rPr>
        <w:t xml:space="preserve"> </w:t>
      </w:r>
      <w:r w:rsidR="00020300" w:rsidRPr="000767AE">
        <w:rPr>
          <w:rFonts w:ascii="Arial" w:hAnsi="Arial"/>
          <w:sz w:val="24"/>
        </w:rPr>
        <w:t>is affected by</w:t>
      </w:r>
      <w:r w:rsidR="007D034D" w:rsidRPr="000767AE">
        <w:rPr>
          <w:rFonts w:ascii="Arial" w:hAnsi="Arial"/>
          <w:sz w:val="24"/>
        </w:rPr>
        <w:t xml:space="preserve"> </w:t>
      </w:r>
      <w:r w:rsidR="007C7E72" w:rsidRPr="000767AE">
        <w:rPr>
          <w:rFonts w:ascii="Arial" w:hAnsi="Arial"/>
          <w:sz w:val="24"/>
        </w:rPr>
        <w:t>standard</w:t>
      </w:r>
      <w:r w:rsidR="00FA6483" w:rsidRPr="000767AE">
        <w:rPr>
          <w:rFonts w:ascii="Arial" w:hAnsi="Arial"/>
          <w:sz w:val="24"/>
        </w:rPr>
        <w:t>s</w:t>
      </w:r>
      <w:r w:rsidR="007C7E72" w:rsidRPr="000767AE">
        <w:rPr>
          <w:rFonts w:ascii="Arial" w:hAnsi="Arial"/>
          <w:sz w:val="24"/>
        </w:rPr>
        <w:t xml:space="preserve"> of </w:t>
      </w:r>
      <w:r w:rsidR="00F01D7F" w:rsidRPr="000767AE">
        <w:rPr>
          <w:rFonts w:ascii="Arial" w:hAnsi="Arial"/>
          <w:sz w:val="24"/>
        </w:rPr>
        <w:t xml:space="preserve">infection control, </w:t>
      </w:r>
      <w:r w:rsidR="0023644C" w:rsidRPr="000767AE">
        <w:rPr>
          <w:rFonts w:ascii="Arial" w:hAnsi="Arial"/>
          <w:sz w:val="24"/>
        </w:rPr>
        <w:t xml:space="preserve">sanitation, </w:t>
      </w:r>
      <w:r w:rsidR="005F75AD" w:rsidRPr="000767AE">
        <w:rPr>
          <w:rFonts w:ascii="Arial" w:hAnsi="Arial"/>
          <w:sz w:val="24"/>
        </w:rPr>
        <w:t>access to clea</w:t>
      </w:r>
      <w:r w:rsidR="00516731" w:rsidRPr="000767AE">
        <w:rPr>
          <w:rFonts w:ascii="Arial" w:hAnsi="Arial"/>
          <w:sz w:val="24"/>
        </w:rPr>
        <w:t xml:space="preserve">n water, </w:t>
      </w:r>
      <w:r w:rsidR="00020300" w:rsidRPr="000767AE">
        <w:rPr>
          <w:rFonts w:ascii="Arial" w:hAnsi="Arial"/>
          <w:sz w:val="24"/>
        </w:rPr>
        <w:t>access to</w:t>
      </w:r>
      <w:r w:rsidR="000E56D5" w:rsidRPr="000767AE">
        <w:rPr>
          <w:rFonts w:ascii="Arial" w:hAnsi="Arial"/>
          <w:sz w:val="24"/>
        </w:rPr>
        <w:t xml:space="preserve"> </w:t>
      </w:r>
      <w:r w:rsidR="0081077D" w:rsidRPr="000767AE">
        <w:rPr>
          <w:rFonts w:ascii="Arial" w:hAnsi="Arial"/>
          <w:sz w:val="24"/>
        </w:rPr>
        <w:t xml:space="preserve">assured </w:t>
      </w:r>
      <w:r w:rsidR="007D034D" w:rsidRPr="000767AE">
        <w:rPr>
          <w:rFonts w:ascii="Arial" w:hAnsi="Arial"/>
          <w:sz w:val="24"/>
        </w:rPr>
        <w:t xml:space="preserve">quality antimicrobials and </w:t>
      </w:r>
      <w:r w:rsidR="0066701A" w:rsidRPr="000767AE">
        <w:rPr>
          <w:rFonts w:ascii="Arial" w:hAnsi="Arial"/>
          <w:sz w:val="24"/>
        </w:rPr>
        <w:t>diagnostics</w:t>
      </w:r>
      <w:r w:rsidR="005F75AD" w:rsidRPr="000767AE">
        <w:rPr>
          <w:rFonts w:ascii="Arial" w:hAnsi="Arial"/>
          <w:sz w:val="24"/>
        </w:rPr>
        <w:t>,</w:t>
      </w:r>
      <w:r w:rsidR="000E56D5" w:rsidRPr="000767AE">
        <w:rPr>
          <w:rFonts w:ascii="Arial" w:hAnsi="Arial"/>
          <w:sz w:val="24"/>
        </w:rPr>
        <w:t xml:space="preserve"> </w:t>
      </w:r>
      <w:r w:rsidR="007D034D" w:rsidRPr="000767AE">
        <w:rPr>
          <w:rFonts w:ascii="Arial" w:hAnsi="Arial"/>
          <w:sz w:val="24"/>
        </w:rPr>
        <w:t xml:space="preserve">travel </w:t>
      </w:r>
      <w:r w:rsidR="005F75AD" w:rsidRPr="000767AE">
        <w:rPr>
          <w:rFonts w:ascii="Arial" w:hAnsi="Arial"/>
          <w:sz w:val="24"/>
        </w:rPr>
        <w:t>and migration</w:t>
      </w:r>
      <w:r w:rsidR="0046268F" w:rsidRPr="000767AE">
        <w:rPr>
          <w:rFonts w:ascii="Arial" w:hAnsi="Arial"/>
          <w:sz w:val="24"/>
        </w:rPr>
        <w:t>.</w:t>
      </w:r>
      <w:r w:rsidR="003E6967" w:rsidRPr="000767AE">
        <w:rPr>
          <w:rFonts w:ascii="Arial" w:hAnsi="Arial"/>
          <w:sz w:val="24"/>
        </w:rPr>
        <w:t xml:space="preserve"> </w:t>
      </w:r>
      <w:r w:rsidR="00516731" w:rsidRPr="000767AE">
        <w:rPr>
          <w:rFonts w:ascii="Arial" w:hAnsi="Arial" w:cs="Arial"/>
          <w:sz w:val="24"/>
          <w:szCs w:val="24"/>
        </w:rPr>
        <w:t>Strategies</w:t>
      </w:r>
      <w:r w:rsidR="005F75AD" w:rsidRPr="000767AE">
        <w:rPr>
          <w:rFonts w:ascii="Arial" w:hAnsi="Arial" w:cs="Arial"/>
          <w:sz w:val="24"/>
          <w:szCs w:val="24"/>
        </w:rPr>
        <w:t xml:space="preserve"> to </w:t>
      </w:r>
      <w:r w:rsidR="00020300" w:rsidRPr="000767AE">
        <w:rPr>
          <w:rFonts w:ascii="Arial" w:hAnsi="Arial" w:cs="Arial"/>
          <w:sz w:val="24"/>
          <w:szCs w:val="24"/>
        </w:rPr>
        <w:t>reduce</w:t>
      </w:r>
      <w:r w:rsidR="0046268F" w:rsidRPr="000767AE">
        <w:rPr>
          <w:rFonts w:ascii="Arial" w:hAnsi="Arial" w:cs="Arial"/>
          <w:sz w:val="24"/>
          <w:szCs w:val="24"/>
        </w:rPr>
        <w:t xml:space="preserve"> </w:t>
      </w:r>
      <w:r w:rsidR="003E6967" w:rsidRPr="000767AE">
        <w:rPr>
          <w:rFonts w:ascii="Arial" w:hAnsi="Arial" w:cs="Arial"/>
          <w:sz w:val="24"/>
          <w:szCs w:val="24"/>
        </w:rPr>
        <w:t>AMR</w:t>
      </w:r>
      <w:r w:rsidR="005F75AD" w:rsidRPr="000767AE">
        <w:rPr>
          <w:rFonts w:ascii="Arial" w:hAnsi="Arial" w:cs="Arial"/>
          <w:sz w:val="24"/>
          <w:szCs w:val="24"/>
        </w:rPr>
        <w:t xml:space="preserve"> </w:t>
      </w:r>
      <w:r w:rsidR="00FA6483" w:rsidRPr="000767AE">
        <w:rPr>
          <w:rFonts w:ascii="Arial" w:hAnsi="Arial" w:cs="Arial"/>
          <w:sz w:val="24"/>
          <w:szCs w:val="24"/>
        </w:rPr>
        <w:t>by</w:t>
      </w:r>
      <w:r w:rsidR="005F75AD" w:rsidRPr="000767AE">
        <w:rPr>
          <w:rFonts w:ascii="Arial" w:hAnsi="Arial" w:cs="Arial"/>
          <w:sz w:val="24"/>
          <w:szCs w:val="24"/>
        </w:rPr>
        <w:t xml:space="preserve"> remov</w:t>
      </w:r>
      <w:r w:rsidR="005A6C8E" w:rsidRPr="000767AE">
        <w:rPr>
          <w:rFonts w:ascii="Arial" w:hAnsi="Arial" w:cs="Arial"/>
          <w:sz w:val="24"/>
          <w:szCs w:val="24"/>
        </w:rPr>
        <w:t>ing</w:t>
      </w:r>
      <w:r w:rsidR="005F75AD" w:rsidRPr="000767AE">
        <w:rPr>
          <w:rFonts w:ascii="Arial" w:hAnsi="Arial" w:cs="Arial"/>
          <w:sz w:val="24"/>
          <w:szCs w:val="24"/>
        </w:rPr>
        <w:t xml:space="preserve"> </w:t>
      </w:r>
      <w:r w:rsidR="003E6967" w:rsidRPr="000767AE">
        <w:rPr>
          <w:rFonts w:ascii="Arial" w:hAnsi="Arial" w:cs="Arial"/>
          <w:sz w:val="24"/>
          <w:szCs w:val="24"/>
        </w:rPr>
        <w:t xml:space="preserve">antimicrobial </w:t>
      </w:r>
      <w:r w:rsidR="005F75AD" w:rsidRPr="000767AE">
        <w:rPr>
          <w:rFonts w:ascii="Arial" w:hAnsi="Arial" w:cs="Arial"/>
          <w:sz w:val="24"/>
          <w:szCs w:val="24"/>
        </w:rPr>
        <w:t>selective pressure</w:t>
      </w:r>
      <w:r w:rsidR="003E6967" w:rsidRPr="000767AE">
        <w:rPr>
          <w:rFonts w:ascii="Arial" w:hAnsi="Arial" w:cs="Arial"/>
          <w:sz w:val="24"/>
          <w:szCs w:val="24"/>
        </w:rPr>
        <w:t xml:space="preserve"> alone</w:t>
      </w:r>
      <w:r w:rsidR="0046268F" w:rsidRPr="000767AE">
        <w:rPr>
          <w:rFonts w:ascii="Arial" w:hAnsi="Arial" w:cs="Arial"/>
          <w:sz w:val="24"/>
          <w:szCs w:val="24"/>
        </w:rPr>
        <w:t xml:space="preserve"> </w:t>
      </w:r>
      <w:r w:rsidR="009F4058" w:rsidRPr="000767AE">
        <w:rPr>
          <w:rFonts w:ascii="Arial" w:hAnsi="Arial" w:cs="Arial"/>
          <w:sz w:val="24"/>
          <w:szCs w:val="24"/>
        </w:rPr>
        <w:t xml:space="preserve">rely </w:t>
      </w:r>
      <w:r w:rsidR="00C63522" w:rsidRPr="000767AE">
        <w:rPr>
          <w:rFonts w:ascii="Arial" w:hAnsi="Arial" w:cs="Arial"/>
          <w:sz w:val="24"/>
          <w:szCs w:val="24"/>
        </w:rPr>
        <w:t>upon</w:t>
      </w:r>
      <w:r w:rsidR="0046268F" w:rsidRPr="000767AE">
        <w:rPr>
          <w:rFonts w:ascii="Arial" w:hAnsi="Arial" w:cs="Arial"/>
          <w:sz w:val="24"/>
          <w:szCs w:val="24"/>
        </w:rPr>
        <w:t xml:space="preserve"> </w:t>
      </w:r>
      <w:r w:rsidR="00020300" w:rsidRPr="000767AE">
        <w:rPr>
          <w:rFonts w:ascii="Arial" w:hAnsi="Arial" w:cs="Arial"/>
          <w:sz w:val="24"/>
          <w:szCs w:val="24"/>
        </w:rPr>
        <w:t>resistance imparting a ‘fitness cost’</w:t>
      </w:r>
      <w:r w:rsidR="00C63522" w:rsidRPr="000767AE">
        <w:rPr>
          <w:rFonts w:ascii="Arial" w:hAnsi="Arial" w:cs="Arial"/>
          <w:sz w:val="24"/>
          <w:szCs w:val="24"/>
        </w:rPr>
        <w:t xml:space="preserve">; </w:t>
      </w:r>
      <w:r w:rsidR="00020300" w:rsidRPr="000767AE">
        <w:rPr>
          <w:rFonts w:ascii="Arial" w:hAnsi="Arial" w:cs="Arial"/>
          <w:sz w:val="24"/>
          <w:szCs w:val="24"/>
        </w:rPr>
        <w:t xml:space="preserve">an </w:t>
      </w:r>
      <w:r w:rsidR="005F75AD" w:rsidRPr="000767AE">
        <w:rPr>
          <w:rFonts w:ascii="Arial" w:hAnsi="Arial" w:cs="Arial"/>
          <w:sz w:val="24"/>
          <w:szCs w:val="24"/>
        </w:rPr>
        <w:t>effect</w:t>
      </w:r>
      <w:r w:rsidR="00C63522" w:rsidRPr="000767AE">
        <w:rPr>
          <w:rFonts w:ascii="Arial" w:hAnsi="Arial" w:cs="Arial"/>
          <w:sz w:val="24"/>
          <w:szCs w:val="24"/>
        </w:rPr>
        <w:t xml:space="preserve"> </w:t>
      </w:r>
      <w:r w:rsidR="005F75AD" w:rsidRPr="000767AE">
        <w:rPr>
          <w:rFonts w:ascii="Arial" w:hAnsi="Arial" w:cs="Arial"/>
          <w:sz w:val="24"/>
          <w:szCs w:val="24"/>
        </w:rPr>
        <w:t xml:space="preserve">not always apparent. </w:t>
      </w:r>
      <w:r w:rsidR="00601FF2" w:rsidRPr="000767AE">
        <w:rPr>
          <w:rFonts w:ascii="Arial" w:hAnsi="Arial"/>
          <w:sz w:val="24"/>
        </w:rPr>
        <w:t>M</w:t>
      </w:r>
      <w:r w:rsidR="005F75AD" w:rsidRPr="000767AE">
        <w:rPr>
          <w:rFonts w:ascii="Arial" w:hAnsi="Arial"/>
          <w:sz w:val="24"/>
        </w:rPr>
        <w:t xml:space="preserve">inimising resistance must </w:t>
      </w:r>
      <w:r w:rsidR="00601FF2" w:rsidRPr="000767AE">
        <w:rPr>
          <w:rFonts w:ascii="Arial" w:hAnsi="Arial"/>
          <w:sz w:val="24"/>
        </w:rPr>
        <w:t xml:space="preserve">therefore </w:t>
      </w:r>
      <w:r w:rsidR="005F75AD" w:rsidRPr="000767AE">
        <w:rPr>
          <w:rFonts w:ascii="Arial" w:hAnsi="Arial"/>
          <w:sz w:val="24"/>
        </w:rPr>
        <w:t xml:space="preserve">be </w:t>
      </w:r>
      <w:r w:rsidR="00FC4EA1" w:rsidRPr="000767AE">
        <w:rPr>
          <w:rFonts w:ascii="Arial" w:hAnsi="Arial"/>
          <w:sz w:val="24"/>
        </w:rPr>
        <w:t>considered</w:t>
      </w:r>
      <w:r w:rsidR="00601FF2" w:rsidRPr="000767AE">
        <w:rPr>
          <w:rFonts w:ascii="Arial" w:hAnsi="Arial"/>
          <w:sz w:val="24"/>
        </w:rPr>
        <w:t xml:space="preserve"> comprehensively; </w:t>
      </w:r>
      <w:r w:rsidR="0023644C" w:rsidRPr="000767AE">
        <w:rPr>
          <w:rFonts w:ascii="Arial" w:hAnsi="Arial"/>
          <w:sz w:val="24"/>
        </w:rPr>
        <w:t xml:space="preserve">by </w:t>
      </w:r>
      <w:r w:rsidR="00516731" w:rsidRPr="000767AE">
        <w:rPr>
          <w:rFonts w:ascii="Arial" w:hAnsi="Arial"/>
          <w:sz w:val="24"/>
        </w:rPr>
        <w:t>resistance</w:t>
      </w:r>
      <w:r w:rsidR="005F75AD" w:rsidRPr="000767AE">
        <w:rPr>
          <w:rFonts w:ascii="Arial" w:hAnsi="Arial"/>
          <w:sz w:val="24"/>
        </w:rPr>
        <w:t xml:space="preserve"> mechanism, </w:t>
      </w:r>
      <w:r w:rsidR="0023644C" w:rsidRPr="000767AE">
        <w:rPr>
          <w:rFonts w:ascii="Arial" w:hAnsi="Arial"/>
          <w:sz w:val="24"/>
        </w:rPr>
        <w:t xml:space="preserve">by </w:t>
      </w:r>
      <w:r w:rsidR="005F75AD" w:rsidRPr="000767AE">
        <w:rPr>
          <w:rFonts w:ascii="Arial" w:hAnsi="Arial"/>
          <w:sz w:val="24"/>
        </w:rPr>
        <w:t xml:space="preserve">micro-organism, </w:t>
      </w:r>
      <w:r w:rsidR="0023644C" w:rsidRPr="000767AE">
        <w:rPr>
          <w:rFonts w:ascii="Arial" w:hAnsi="Arial"/>
          <w:sz w:val="24"/>
        </w:rPr>
        <w:t xml:space="preserve">by </w:t>
      </w:r>
      <w:r w:rsidR="00FC4EA1" w:rsidRPr="000767AE">
        <w:rPr>
          <w:rFonts w:ascii="Arial" w:hAnsi="Arial"/>
          <w:sz w:val="24"/>
        </w:rPr>
        <w:t xml:space="preserve">antimicrobial </w:t>
      </w:r>
      <w:r w:rsidR="005F75AD" w:rsidRPr="000767AE">
        <w:rPr>
          <w:rFonts w:ascii="Arial" w:hAnsi="Arial"/>
          <w:sz w:val="24"/>
        </w:rPr>
        <w:t>drug</w:t>
      </w:r>
      <w:r w:rsidR="007C7E72" w:rsidRPr="000767AE">
        <w:rPr>
          <w:rFonts w:ascii="Arial" w:hAnsi="Arial"/>
          <w:sz w:val="24"/>
        </w:rPr>
        <w:t>,</w:t>
      </w:r>
      <w:r w:rsidR="005F75AD" w:rsidRPr="000767AE">
        <w:rPr>
          <w:rFonts w:ascii="Arial" w:hAnsi="Arial"/>
          <w:sz w:val="24"/>
        </w:rPr>
        <w:t xml:space="preserve"> </w:t>
      </w:r>
      <w:r w:rsidR="0023644C" w:rsidRPr="000767AE">
        <w:rPr>
          <w:rFonts w:ascii="Arial" w:hAnsi="Arial"/>
          <w:sz w:val="24"/>
        </w:rPr>
        <w:t>host</w:t>
      </w:r>
      <w:r w:rsidR="00C702E7" w:rsidRPr="000767AE">
        <w:rPr>
          <w:rFonts w:ascii="Arial" w:hAnsi="Arial"/>
          <w:sz w:val="24"/>
        </w:rPr>
        <w:t xml:space="preserve"> </w:t>
      </w:r>
      <w:r w:rsidR="005F75AD" w:rsidRPr="000767AE">
        <w:rPr>
          <w:rFonts w:ascii="Arial" w:hAnsi="Arial"/>
          <w:sz w:val="24"/>
        </w:rPr>
        <w:t>and context.</w:t>
      </w:r>
      <w:r w:rsidR="005F75AD" w:rsidRPr="000767AE">
        <w:rPr>
          <w:rFonts w:ascii="Arial" w:hAnsi="Arial" w:cs="Arial"/>
          <w:sz w:val="24"/>
          <w:szCs w:val="24"/>
        </w:rPr>
        <w:t xml:space="preserve"> </w:t>
      </w:r>
      <w:r w:rsidR="00020300" w:rsidRPr="000767AE">
        <w:rPr>
          <w:rFonts w:ascii="Arial" w:hAnsi="Arial" w:cs="Arial"/>
          <w:sz w:val="24"/>
          <w:szCs w:val="24"/>
        </w:rPr>
        <w:t>Parallel to</w:t>
      </w:r>
      <w:r w:rsidR="00FC4EA1" w:rsidRPr="000767AE">
        <w:rPr>
          <w:rFonts w:ascii="Arial" w:hAnsi="Arial" w:cs="Arial"/>
          <w:sz w:val="24"/>
          <w:szCs w:val="24"/>
        </w:rPr>
        <w:t xml:space="preserve"> </w:t>
      </w:r>
      <w:r w:rsidR="00516731" w:rsidRPr="000767AE">
        <w:rPr>
          <w:rFonts w:ascii="Arial" w:hAnsi="Arial" w:cs="Arial"/>
          <w:sz w:val="24"/>
          <w:szCs w:val="24"/>
        </w:rPr>
        <w:t>new</w:t>
      </w:r>
      <w:r w:rsidR="005F75AD" w:rsidRPr="000767AE">
        <w:rPr>
          <w:rFonts w:ascii="Arial" w:hAnsi="Arial" w:cs="Arial"/>
          <w:sz w:val="24"/>
          <w:szCs w:val="24"/>
        </w:rPr>
        <w:t xml:space="preserve"> drug discovery </w:t>
      </w:r>
      <w:r w:rsidR="0023644C" w:rsidRPr="000767AE">
        <w:rPr>
          <w:rFonts w:ascii="Arial" w:hAnsi="Arial" w:cs="Arial"/>
          <w:sz w:val="24"/>
          <w:szCs w:val="24"/>
        </w:rPr>
        <w:t xml:space="preserve">there </w:t>
      </w:r>
      <w:r w:rsidR="004C6802" w:rsidRPr="000767AE">
        <w:rPr>
          <w:rFonts w:ascii="Arial" w:hAnsi="Arial" w:cs="Arial"/>
          <w:sz w:val="24"/>
          <w:szCs w:val="24"/>
        </w:rPr>
        <w:t>must</w:t>
      </w:r>
      <w:r w:rsidR="005F75AD" w:rsidRPr="000767AE">
        <w:rPr>
          <w:rFonts w:ascii="Arial" w:hAnsi="Arial" w:cs="Arial"/>
          <w:sz w:val="24"/>
          <w:szCs w:val="24"/>
        </w:rPr>
        <w:t xml:space="preserve"> </w:t>
      </w:r>
      <w:r w:rsidR="0023644C" w:rsidRPr="000767AE">
        <w:rPr>
          <w:rFonts w:ascii="Arial" w:hAnsi="Arial" w:cs="Arial"/>
          <w:sz w:val="24"/>
          <w:szCs w:val="24"/>
        </w:rPr>
        <w:t xml:space="preserve">be </w:t>
      </w:r>
      <w:r w:rsidR="00601FF2" w:rsidRPr="000767AE">
        <w:rPr>
          <w:rFonts w:ascii="Arial" w:hAnsi="Arial" w:cs="Arial"/>
          <w:sz w:val="24"/>
          <w:szCs w:val="24"/>
        </w:rPr>
        <w:t xml:space="preserve">broad ranging, </w:t>
      </w:r>
      <w:r w:rsidR="00177E69" w:rsidRPr="000767AE">
        <w:rPr>
          <w:rFonts w:ascii="Arial" w:hAnsi="Arial" w:cs="Arial"/>
          <w:sz w:val="24"/>
          <w:szCs w:val="24"/>
        </w:rPr>
        <w:t>multidisciplinary research</w:t>
      </w:r>
      <w:r w:rsidR="00601FF2" w:rsidRPr="000767AE">
        <w:rPr>
          <w:rFonts w:ascii="Arial" w:hAnsi="Arial" w:cs="Arial"/>
          <w:sz w:val="24"/>
          <w:szCs w:val="24"/>
        </w:rPr>
        <w:t xml:space="preserve"> </w:t>
      </w:r>
      <w:r w:rsidR="007F0C33" w:rsidRPr="000767AE">
        <w:rPr>
          <w:rFonts w:ascii="Arial" w:hAnsi="Arial" w:cs="Arial"/>
          <w:sz w:val="24"/>
          <w:szCs w:val="24"/>
        </w:rPr>
        <w:t>across</w:t>
      </w:r>
      <w:r w:rsidRPr="000767AE">
        <w:rPr>
          <w:rFonts w:ascii="Arial" w:hAnsi="Arial" w:cs="Arial"/>
          <w:sz w:val="24"/>
          <w:szCs w:val="24"/>
        </w:rPr>
        <w:t xml:space="preserve"> these levels, </w:t>
      </w:r>
      <w:r w:rsidR="00040B74" w:rsidRPr="000767AE">
        <w:rPr>
          <w:rFonts w:ascii="Arial" w:hAnsi="Arial" w:cs="Arial"/>
          <w:sz w:val="24"/>
          <w:szCs w:val="24"/>
        </w:rPr>
        <w:t xml:space="preserve">interlinked </w:t>
      </w:r>
      <w:r w:rsidR="004C6802" w:rsidRPr="000767AE">
        <w:rPr>
          <w:rFonts w:ascii="Arial" w:hAnsi="Arial" w:cs="Arial"/>
          <w:sz w:val="24"/>
          <w:szCs w:val="24"/>
        </w:rPr>
        <w:t xml:space="preserve">across </w:t>
      </w:r>
      <w:r w:rsidR="00020300" w:rsidRPr="000767AE">
        <w:rPr>
          <w:rFonts w:ascii="Arial" w:hAnsi="Arial" w:cs="Arial"/>
          <w:sz w:val="24"/>
          <w:szCs w:val="24"/>
        </w:rPr>
        <w:t>sectors</w:t>
      </w:r>
      <w:r w:rsidR="002A7B12" w:rsidRPr="000767AE">
        <w:rPr>
          <w:rFonts w:ascii="Arial" w:hAnsi="Arial" w:cs="Arial"/>
          <w:sz w:val="24"/>
          <w:szCs w:val="24"/>
        </w:rPr>
        <w:t xml:space="preserve">. </w:t>
      </w:r>
      <w:r w:rsidRPr="000767AE">
        <w:rPr>
          <w:rFonts w:ascii="Arial" w:hAnsi="Arial" w:cs="Arial"/>
          <w:sz w:val="24"/>
          <w:szCs w:val="24"/>
        </w:rPr>
        <w:t>I</w:t>
      </w:r>
      <w:r w:rsidR="007F0C33" w:rsidRPr="000767AE">
        <w:rPr>
          <w:rFonts w:ascii="Arial" w:hAnsi="Arial" w:cs="Arial"/>
          <w:sz w:val="24"/>
          <w:szCs w:val="24"/>
        </w:rPr>
        <w:t>ntelligent, i</w:t>
      </w:r>
      <w:r w:rsidR="001076CE" w:rsidRPr="000767AE">
        <w:rPr>
          <w:rFonts w:ascii="Arial" w:hAnsi="Arial" w:cs="Arial"/>
          <w:sz w:val="24"/>
          <w:szCs w:val="24"/>
        </w:rPr>
        <w:t>ntegrated</w:t>
      </w:r>
      <w:r w:rsidR="0066701A" w:rsidRPr="000767AE">
        <w:rPr>
          <w:rFonts w:ascii="Arial" w:hAnsi="Arial" w:cs="Arial"/>
          <w:sz w:val="24"/>
          <w:szCs w:val="24"/>
        </w:rPr>
        <w:t xml:space="preserve"> </w:t>
      </w:r>
      <w:r w:rsidR="00AC335B" w:rsidRPr="000767AE">
        <w:rPr>
          <w:rFonts w:ascii="Arial" w:hAnsi="Arial" w:cs="Arial"/>
          <w:sz w:val="24"/>
          <w:szCs w:val="24"/>
        </w:rPr>
        <w:t>approaches</w:t>
      </w:r>
      <w:r w:rsidR="001B691B" w:rsidRPr="000767AE">
        <w:rPr>
          <w:rFonts w:ascii="Arial" w:hAnsi="Arial" w:cs="Arial"/>
          <w:sz w:val="24"/>
          <w:szCs w:val="24"/>
        </w:rPr>
        <w:t>, mindful of</w:t>
      </w:r>
      <w:r w:rsidR="001076CE" w:rsidRPr="000767AE">
        <w:rPr>
          <w:rFonts w:ascii="Arial" w:hAnsi="Arial" w:cs="Arial"/>
          <w:sz w:val="24"/>
          <w:szCs w:val="24"/>
        </w:rPr>
        <w:t xml:space="preserve"> potential </w:t>
      </w:r>
      <w:r w:rsidR="0066701A" w:rsidRPr="000767AE">
        <w:rPr>
          <w:rFonts w:ascii="Arial" w:hAnsi="Arial" w:cs="Arial"/>
          <w:sz w:val="24"/>
          <w:szCs w:val="24"/>
        </w:rPr>
        <w:t>unintended consequences</w:t>
      </w:r>
      <w:r w:rsidR="001B691B" w:rsidRPr="000767AE">
        <w:rPr>
          <w:rFonts w:ascii="Arial" w:hAnsi="Arial" w:cs="Arial"/>
          <w:sz w:val="24"/>
          <w:szCs w:val="24"/>
        </w:rPr>
        <w:t>, are</w:t>
      </w:r>
      <w:r w:rsidR="00AC335B" w:rsidRPr="000767AE">
        <w:rPr>
          <w:rFonts w:ascii="Arial" w:hAnsi="Arial" w:cs="Arial"/>
          <w:sz w:val="24"/>
          <w:szCs w:val="24"/>
        </w:rPr>
        <w:t xml:space="preserve"> required to ensure sustained</w:t>
      </w:r>
      <w:r w:rsidR="001076CE" w:rsidRPr="000767AE">
        <w:rPr>
          <w:rFonts w:ascii="Arial" w:hAnsi="Arial" w:cs="Arial"/>
          <w:sz w:val="24"/>
          <w:szCs w:val="24"/>
        </w:rPr>
        <w:t>,</w:t>
      </w:r>
      <w:r w:rsidR="00AC335B" w:rsidRPr="000767AE">
        <w:rPr>
          <w:rFonts w:ascii="Arial" w:hAnsi="Arial" w:cs="Arial"/>
          <w:sz w:val="24"/>
          <w:szCs w:val="24"/>
        </w:rPr>
        <w:t xml:space="preserve"> </w:t>
      </w:r>
      <w:r w:rsidR="00D606AD" w:rsidRPr="000767AE">
        <w:rPr>
          <w:rFonts w:ascii="Arial" w:hAnsi="Arial" w:cs="Arial"/>
          <w:sz w:val="24"/>
          <w:szCs w:val="24"/>
        </w:rPr>
        <w:t>global</w:t>
      </w:r>
      <w:r w:rsidR="00AC335B" w:rsidRPr="000767AE">
        <w:rPr>
          <w:rFonts w:ascii="Arial" w:hAnsi="Arial" w:cs="Arial"/>
          <w:sz w:val="24"/>
          <w:szCs w:val="24"/>
        </w:rPr>
        <w:t xml:space="preserve"> acc</w:t>
      </w:r>
      <w:r w:rsidR="00177E69" w:rsidRPr="000767AE">
        <w:rPr>
          <w:rFonts w:ascii="Arial" w:hAnsi="Arial" w:cs="Arial"/>
          <w:sz w:val="24"/>
          <w:szCs w:val="24"/>
        </w:rPr>
        <w:t>ess to effective antimicrobials</w:t>
      </w:r>
      <w:r w:rsidR="00AC335B" w:rsidRPr="000767AE">
        <w:rPr>
          <w:rFonts w:ascii="Arial" w:hAnsi="Arial" w:cs="Arial"/>
          <w:sz w:val="24"/>
          <w:szCs w:val="24"/>
        </w:rPr>
        <w:t>.</w:t>
      </w:r>
    </w:p>
    <w:p w14:paraId="56E6BB2F" w14:textId="74F26EC3" w:rsidR="00085DAE" w:rsidRPr="000767AE" w:rsidRDefault="00085DAE" w:rsidP="00085DAE">
      <w:pPr>
        <w:rPr>
          <w:rFonts w:ascii="Arial" w:hAnsi="Arial"/>
          <w:sz w:val="24"/>
        </w:rPr>
      </w:pPr>
    </w:p>
    <w:p w14:paraId="1481EA86" w14:textId="77777777" w:rsidR="00462FA2" w:rsidRPr="000767AE" w:rsidRDefault="00462FA2" w:rsidP="00462FA2">
      <w:pPr>
        <w:rPr>
          <w:rFonts w:ascii="Arial" w:hAnsi="Arial"/>
          <w:sz w:val="24"/>
        </w:rPr>
      </w:pPr>
    </w:p>
    <w:p w14:paraId="7BF9C735" w14:textId="77777777" w:rsidR="00FF15E1" w:rsidRPr="000767AE" w:rsidRDefault="00FF15E1" w:rsidP="00462FA2">
      <w:pPr>
        <w:pStyle w:val="Heading2"/>
        <w:spacing w:before="0"/>
        <w:rPr>
          <w:rFonts w:ascii="Arial" w:hAnsi="Arial"/>
          <w:b/>
          <w:sz w:val="24"/>
        </w:rPr>
      </w:pPr>
      <w:r w:rsidRPr="000767AE">
        <w:rPr>
          <w:rFonts w:ascii="Arial" w:hAnsi="Arial"/>
          <w:b/>
          <w:sz w:val="24"/>
        </w:rPr>
        <w:t>Key messages:</w:t>
      </w:r>
    </w:p>
    <w:p w14:paraId="28275889" w14:textId="3336A991" w:rsidR="005F75AD" w:rsidRPr="000767AE" w:rsidRDefault="002A7B12" w:rsidP="00A716BE">
      <w:pPr>
        <w:pStyle w:val="ListParagraph"/>
        <w:numPr>
          <w:ilvl w:val="0"/>
          <w:numId w:val="19"/>
        </w:numPr>
        <w:spacing w:after="0" w:line="240" w:lineRule="auto"/>
        <w:rPr>
          <w:rFonts w:ascii="Arial" w:hAnsi="Arial"/>
          <w:sz w:val="24"/>
        </w:rPr>
      </w:pPr>
      <w:r w:rsidRPr="000767AE">
        <w:rPr>
          <w:rFonts w:ascii="Arial" w:hAnsi="Arial"/>
          <w:sz w:val="24"/>
        </w:rPr>
        <w:t xml:space="preserve">The </w:t>
      </w:r>
      <w:r w:rsidR="00A716BE" w:rsidRPr="000767AE">
        <w:rPr>
          <w:rFonts w:ascii="Arial" w:hAnsi="Arial"/>
          <w:sz w:val="24"/>
        </w:rPr>
        <w:t>emergence</w:t>
      </w:r>
      <w:r w:rsidRPr="000767AE">
        <w:rPr>
          <w:rFonts w:ascii="Arial" w:hAnsi="Arial"/>
          <w:sz w:val="24"/>
        </w:rPr>
        <w:t xml:space="preserve"> of </w:t>
      </w:r>
      <w:r w:rsidR="00A716BE" w:rsidRPr="000767AE">
        <w:rPr>
          <w:rFonts w:ascii="Arial" w:hAnsi="Arial"/>
          <w:sz w:val="24"/>
        </w:rPr>
        <w:t xml:space="preserve">AMR </w:t>
      </w:r>
      <w:r w:rsidRPr="000767AE">
        <w:rPr>
          <w:rFonts w:ascii="Arial" w:hAnsi="Arial"/>
          <w:sz w:val="24"/>
        </w:rPr>
        <w:t xml:space="preserve">is </w:t>
      </w:r>
      <w:r w:rsidR="00B43E6C" w:rsidRPr="000767AE">
        <w:rPr>
          <w:rFonts w:ascii="Arial" w:hAnsi="Arial"/>
          <w:sz w:val="24"/>
        </w:rPr>
        <w:t>a natural</w:t>
      </w:r>
      <w:r w:rsidR="001B691B" w:rsidRPr="000767AE">
        <w:rPr>
          <w:rFonts w:ascii="Arial" w:hAnsi="Arial"/>
          <w:sz w:val="24"/>
        </w:rPr>
        <w:t xml:space="preserve"> </w:t>
      </w:r>
      <w:r w:rsidR="00A716BE" w:rsidRPr="000767AE">
        <w:rPr>
          <w:rFonts w:ascii="Arial" w:hAnsi="Arial"/>
          <w:sz w:val="24"/>
        </w:rPr>
        <w:t>evolutionary</w:t>
      </w:r>
      <w:r w:rsidR="0066701A" w:rsidRPr="000767AE">
        <w:rPr>
          <w:rFonts w:ascii="Arial" w:hAnsi="Arial"/>
          <w:sz w:val="24"/>
        </w:rPr>
        <w:t xml:space="preserve"> response to antimicrobial exposure</w:t>
      </w:r>
      <w:r w:rsidR="00513E72" w:rsidRPr="000767AE">
        <w:rPr>
          <w:rFonts w:ascii="Arial" w:hAnsi="Arial"/>
          <w:sz w:val="24"/>
        </w:rPr>
        <w:t>. At a societal level</w:t>
      </w:r>
      <w:r w:rsidR="00B43E6C" w:rsidRPr="000767AE">
        <w:rPr>
          <w:rFonts w:ascii="Arial" w:hAnsi="Arial"/>
          <w:sz w:val="24"/>
        </w:rPr>
        <w:t xml:space="preserve">, </w:t>
      </w:r>
      <w:r w:rsidR="00A716BE" w:rsidRPr="000767AE">
        <w:rPr>
          <w:rFonts w:ascii="Arial" w:hAnsi="Arial"/>
          <w:sz w:val="24"/>
        </w:rPr>
        <w:t>c</w:t>
      </w:r>
      <w:r w:rsidR="00A42234" w:rsidRPr="000767AE">
        <w:rPr>
          <w:rFonts w:ascii="Arial" w:hAnsi="Arial"/>
          <w:sz w:val="24"/>
        </w:rPr>
        <w:t>omplex and inter</w:t>
      </w:r>
      <w:r w:rsidR="00254894" w:rsidRPr="000767AE">
        <w:rPr>
          <w:rFonts w:ascii="Arial" w:hAnsi="Arial"/>
          <w:sz w:val="24"/>
        </w:rPr>
        <w:t>linking</w:t>
      </w:r>
      <w:r w:rsidR="00A42234" w:rsidRPr="000767AE">
        <w:rPr>
          <w:rFonts w:ascii="Arial" w:hAnsi="Arial"/>
          <w:sz w:val="24"/>
        </w:rPr>
        <w:t xml:space="preserve"> d</w:t>
      </w:r>
      <w:r w:rsidR="005F75AD" w:rsidRPr="000767AE">
        <w:rPr>
          <w:rFonts w:ascii="Arial" w:hAnsi="Arial"/>
          <w:sz w:val="24"/>
        </w:rPr>
        <w:t xml:space="preserve">rivers </w:t>
      </w:r>
      <w:r w:rsidR="00B43E6C" w:rsidRPr="000767AE">
        <w:rPr>
          <w:rFonts w:ascii="Arial" w:hAnsi="Arial"/>
          <w:sz w:val="24"/>
        </w:rPr>
        <w:t>are i</w:t>
      </w:r>
      <w:r w:rsidR="00A716BE" w:rsidRPr="000767AE">
        <w:rPr>
          <w:rFonts w:ascii="Arial" w:hAnsi="Arial"/>
          <w:sz w:val="24"/>
        </w:rPr>
        <w:t>ncreas</w:t>
      </w:r>
      <w:r w:rsidR="00B43E6C" w:rsidRPr="000767AE">
        <w:rPr>
          <w:rFonts w:ascii="Arial" w:hAnsi="Arial"/>
          <w:sz w:val="24"/>
        </w:rPr>
        <w:t>ing</w:t>
      </w:r>
      <w:r w:rsidR="00A716BE" w:rsidRPr="000767AE">
        <w:rPr>
          <w:rFonts w:ascii="Arial" w:hAnsi="Arial"/>
          <w:sz w:val="24"/>
        </w:rPr>
        <w:t xml:space="preserve"> </w:t>
      </w:r>
      <w:r w:rsidR="007C7E72" w:rsidRPr="000767AE">
        <w:rPr>
          <w:rFonts w:ascii="Arial" w:hAnsi="Arial"/>
          <w:sz w:val="24"/>
        </w:rPr>
        <w:t xml:space="preserve">prevalence of </w:t>
      </w:r>
      <w:r w:rsidR="001B691B" w:rsidRPr="000767AE">
        <w:rPr>
          <w:rFonts w:ascii="Arial" w:hAnsi="Arial"/>
          <w:sz w:val="24"/>
        </w:rPr>
        <w:t>AMR</w:t>
      </w:r>
      <w:r w:rsidR="007C7E72" w:rsidRPr="000767AE">
        <w:rPr>
          <w:rFonts w:ascii="Arial" w:hAnsi="Arial"/>
          <w:sz w:val="24"/>
        </w:rPr>
        <w:t xml:space="preserve"> microbes</w:t>
      </w:r>
      <w:r w:rsidR="0066701A" w:rsidRPr="000767AE">
        <w:rPr>
          <w:rFonts w:ascii="Arial" w:hAnsi="Arial"/>
          <w:sz w:val="24"/>
        </w:rPr>
        <w:t xml:space="preserve">, </w:t>
      </w:r>
      <w:r w:rsidR="0008712B" w:rsidRPr="000767AE">
        <w:rPr>
          <w:rFonts w:ascii="Arial" w:hAnsi="Arial"/>
          <w:sz w:val="24"/>
        </w:rPr>
        <w:t>predominantly arising from</w:t>
      </w:r>
      <w:r w:rsidR="00254894" w:rsidRPr="000767AE">
        <w:rPr>
          <w:rFonts w:ascii="Arial" w:hAnsi="Arial"/>
          <w:sz w:val="24"/>
        </w:rPr>
        <w:t xml:space="preserve"> </w:t>
      </w:r>
      <w:r w:rsidR="00A716BE" w:rsidRPr="000767AE">
        <w:rPr>
          <w:rFonts w:ascii="Arial" w:hAnsi="Arial"/>
          <w:sz w:val="24"/>
        </w:rPr>
        <w:t xml:space="preserve">use </w:t>
      </w:r>
      <w:r w:rsidR="005F75AD" w:rsidRPr="000767AE">
        <w:rPr>
          <w:rFonts w:ascii="Arial" w:hAnsi="Arial"/>
          <w:sz w:val="24"/>
        </w:rPr>
        <w:t>in humans</w:t>
      </w:r>
      <w:r w:rsidR="00C575F3" w:rsidRPr="000767AE">
        <w:rPr>
          <w:rFonts w:ascii="Arial" w:hAnsi="Arial"/>
          <w:sz w:val="24"/>
        </w:rPr>
        <w:t xml:space="preserve"> and</w:t>
      </w:r>
      <w:r w:rsidR="005F75AD" w:rsidRPr="000767AE">
        <w:rPr>
          <w:rFonts w:ascii="Arial" w:hAnsi="Arial"/>
          <w:sz w:val="24"/>
        </w:rPr>
        <w:t xml:space="preserve"> </w:t>
      </w:r>
      <w:r w:rsidR="008E5A64" w:rsidRPr="000767AE">
        <w:rPr>
          <w:rFonts w:ascii="Arial" w:hAnsi="Arial"/>
          <w:sz w:val="24"/>
        </w:rPr>
        <w:t>agriculture</w:t>
      </w:r>
      <w:r w:rsidR="008E47B1" w:rsidRPr="000767AE">
        <w:rPr>
          <w:rFonts w:ascii="Arial" w:hAnsi="Arial"/>
          <w:sz w:val="24"/>
        </w:rPr>
        <w:t xml:space="preserve"> </w:t>
      </w:r>
      <w:r w:rsidR="0066701A" w:rsidRPr="000767AE">
        <w:rPr>
          <w:rFonts w:ascii="Arial" w:hAnsi="Arial"/>
          <w:sz w:val="24"/>
        </w:rPr>
        <w:t xml:space="preserve">and </w:t>
      </w:r>
      <w:r w:rsidR="00C575F3" w:rsidRPr="000767AE">
        <w:rPr>
          <w:rFonts w:ascii="Arial" w:hAnsi="Arial"/>
          <w:sz w:val="24"/>
        </w:rPr>
        <w:t xml:space="preserve">the </w:t>
      </w:r>
      <w:r w:rsidR="00C702E7" w:rsidRPr="000767AE">
        <w:rPr>
          <w:rFonts w:ascii="Arial" w:hAnsi="Arial"/>
          <w:sz w:val="24"/>
        </w:rPr>
        <w:t xml:space="preserve">pollution of </w:t>
      </w:r>
      <w:r w:rsidR="0066701A" w:rsidRPr="000767AE">
        <w:rPr>
          <w:rFonts w:ascii="Arial" w:hAnsi="Arial"/>
          <w:sz w:val="24"/>
        </w:rPr>
        <w:t xml:space="preserve">the </w:t>
      </w:r>
      <w:r w:rsidR="00DB1AA8" w:rsidRPr="000767AE">
        <w:rPr>
          <w:rFonts w:ascii="Arial" w:hAnsi="Arial"/>
          <w:sz w:val="24"/>
        </w:rPr>
        <w:t>environment</w:t>
      </w:r>
      <w:r w:rsidR="005F75AD" w:rsidRPr="000767AE">
        <w:rPr>
          <w:rFonts w:ascii="Arial" w:hAnsi="Arial"/>
          <w:sz w:val="24"/>
        </w:rPr>
        <w:t>.</w:t>
      </w:r>
    </w:p>
    <w:p w14:paraId="000DB11B" w14:textId="5313F551" w:rsidR="0066701A" w:rsidRPr="000767AE" w:rsidRDefault="00B43E6C" w:rsidP="005F75AD">
      <w:pPr>
        <w:pStyle w:val="ListParagraph"/>
        <w:numPr>
          <w:ilvl w:val="0"/>
          <w:numId w:val="19"/>
        </w:numPr>
        <w:spacing w:after="0" w:line="240" w:lineRule="auto"/>
        <w:rPr>
          <w:rFonts w:ascii="Arial" w:hAnsi="Arial"/>
          <w:sz w:val="24"/>
        </w:rPr>
      </w:pPr>
      <w:r w:rsidRPr="000767AE">
        <w:rPr>
          <w:rFonts w:ascii="Arial" w:hAnsi="Arial"/>
          <w:sz w:val="24"/>
        </w:rPr>
        <w:t xml:space="preserve">Acquisition of </w:t>
      </w:r>
      <w:r w:rsidR="00C575F3" w:rsidRPr="000767AE">
        <w:rPr>
          <w:rFonts w:ascii="Arial" w:hAnsi="Arial"/>
          <w:sz w:val="24"/>
        </w:rPr>
        <w:t>AMR</w:t>
      </w:r>
      <w:r w:rsidRPr="000767AE">
        <w:rPr>
          <w:rFonts w:ascii="Arial" w:hAnsi="Arial"/>
          <w:sz w:val="24"/>
        </w:rPr>
        <w:t xml:space="preserve"> mechanisms does not neces</w:t>
      </w:r>
      <w:r w:rsidR="00EF0F48" w:rsidRPr="000767AE">
        <w:rPr>
          <w:rFonts w:ascii="Arial" w:hAnsi="Arial"/>
          <w:sz w:val="24"/>
        </w:rPr>
        <w:t>sarily compromise microbial fitness. W</w:t>
      </w:r>
      <w:r w:rsidR="00A716BE" w:rsidRPr="000767AE">
        <w:rPr>
          <w:rFonts w:ascii="Arial" w:hAnsi="Arial"/>
          <w:sz w:val="24"/>
        </w:rPr>
        <w:t>orldwide clonal spread and l</w:t>
      </w:r>
      <w:r w:rsidR="00440FC8" w:rsidRPr="000767AE">
        <w:rPr>
          <w:rFonts w:ascii="Arial" w:hAnsi="Arial"/>
          <w:sz w:val="24"/>
        </w:rPr>
        <w:t xml:space="preserve">ong-term persistence of resistant bacteria </w:t>
      </w:r>
      <w:r w:rsidR="00EE31C9" w:rsidRPr="000767AE">
        <w:rPr>
          <w:rFonts w:ascii="Arial" w:hAnsi="Arial"/>
          <w:sz w:val="24"/>
        </w:rPr>
        <w:t>are</w:t>
      </w:r>
      <w:r w:rsidRPr="000767AE">
        <w:rPr>
          <w:rFonts w:ascii="Arial" w:hAnsi="Arial"/>
          <w:sz w:val="24"/>
        </w:rPr>
        <w:t xml:space="preserve"> </w:t>
      </w:r>
      <w:r w:rsidR="008E5A64" w:rsidRPr="000767AE">
        <w:rPr>
          <w:rFonts w:ascii="Arial" w:hAnsi="Arial"/>
          <w:sz w:val="24"/>
        </w:rPr>
        <w:t xml:space="preserve">also </w:t>
      </w:r>
      <w:r w:rsidRPr="000767AE">
        <w:rPr>
          <w:rFonts w:ascii="Arial" w:hAnsi="Arial"/>
          <w:sz w:val="24"/>
        </w:rPr>
        <w:t xml:space="preserve">seen </w:t>
      </w:r>
      <w:r w:rsidR="00440FC8" w:rsidRPr="000767AE">
        <w:rPr>
          <w:rFonts w:ascii="Arial" w:hAnsi="Arial"/>
          <w:sz w:val="24"/>
        </w:rPr>
        <w:t xml:space="preserve">in the absence of </w:t>
      </w:r>
      <w:r w:rsidR="00EE31C9" w:rsidRPr="000767AE">
        <w:rPr>
          <w:rFonts w:ascii="Arial" w:hAnsi="Arial"/>
          <w:sz w:val="24"/>
        </w:rPr>
        <w:t xml:space="preserve">direct </w:t>
      </w:r>
      <w:r w:rsidRPr="000767AE">
        <w:rPr>
          <w:rFonts w:ascii="Arial" w:hAnsi="Arial"/>
          <w:sz w:val="24"/>
        </w:rPr>
        <w:t xml:space="preserve">antibiotic </w:t>
      </w:r>
      <w:r w:rsidR="00440FC8" w:rsidRPr="000767AE">
        <w:rPr>
          <w:rFonts w:ascii="Arial" w:hAnsi="Arial"/>
          <w:sz w:val="24"/>
        </w:rPr>
        <w:t>selection</w:t>
      </w:r>
      <w:r w:rsidRPr="000767AE">
        <w:rPr>
          <w:rFonts w:ascii="Arial" w:hAnsi="Arial"/>
          <w:sz w:val="24"/>
        </w:rPr>
        <w:t xml:space="preserve"> pressure.</w:t>
      </w:r>
    </w:p>
    <w:p w14:paraId="087C586A" w14:textId="3BA05548" w:rsidR="005F75AD" w:rsidRPr="000767AE" w:rsidRDefault="005F75AD" w:rsidP="005F75AD">
      <w:pPr>
        <w:pStyle w:val="ListParagraph"/>
        <w:numPr>
          <w:ilvl w:val="0"/>
          <w:numId w:val="19"/>
        </w:numPr>
        <w:spacing w:after="0" w:line="240" w:lineRule="auto"/>
        <w:rPr>
          <w:rFonts w:ascii="Arial" w:hAnsi="Arial"/>
          <w:sz w:val="24"/>
        </w:rPr>
      </w:pPr>
      <w:r w:rsidRPr="000767AE">
        <w:rPr>
          <w:rFonts w:ascii="Arial" w:hAnsi="Arial"/>
          <w:sz w:val="24"/>
        </w:rPr>
        <w:t xml:space="preserve">Reversibility of </w:t>
      </w:r>
      <w:r w:rsidR="00A716BE" w:rsidRPr="000767AE">
        <w:rPr>
          <w:rFonts w:ascii="Arial" w:hAnsi="Arial"/>
          <w:sz w:val="24"/>
        </w:rPr>
        <w:t xml:space="preserve">AMR </w:t>
      </w:r>
      <w:r w:rsidRPr="000767AE">
        <w:rPr>
          <w:rFonts w:ascii="Arial" w:hAnsi="Arial"/>
          <w:sz w:val="24"/>
        </w:rPr>
        <w:t xml:space="preserve">following withdrawal of </w:t>
      </w:r>
      <w:r w:rsidR="00A716BE" w:rsidRPr="000767AE">
        <w:rPr>
          <w:rFonts w:ascii="Arial" w:hAnsi="Arial"/>
          <w:sz w:val="24"/>
        </w:rPr>
        <w:t xml:space="preserve">antimicrobial </w:t>
      </w:r>
      <w:r w:rsidRPr="000767AE">
        <w:rPr>
          <w:rFonts w:ascii="Arial" w:hAnsi="Arial"/>
          <w:sz w:val="24"/>
        </w:rPr>
        <w:t xml:space="preserve">selective pressure is </w:t>
      </w:r>
      <w:r w:rsidR="004B3040" w:rsidRPr="000767AE">
        <w:rPr>
          <w:rFonts w:ascii="Arial" w:hAnsi="Arial"/>
          <w:sz w:val="24"/>
        </w:rPr>
        <w:t xml:space="preserve">consequently </w:t>
      </w:r>
      <w:r w:rsidR="002A7B12" w:rsidRPr="000767AE">
        <w:rPr>
          <w:rFonts w:ascii="Arial" w:hAnsi="Arial"/>
          <w:sz w:val="24"/>
        </w:rPr>
        <w:t>not clear cut</w:t>
      </w:r>
      <w:r w:rsidRPr="000767AE">
        <w:rPr>
          <w:rFonts w:ascii="Arial" w:hAnsi="Arial"/>
          <w:sz w:val="24"/>
        </w:rPr>
        <w:t xml:space="preserve">; </w:t>
      </w:r>
      <w:r w:rsidR="00F53B84" w:rsidRPr="000767AE">
        <w:rPr>
          <w:rFonts w:ascii="Arial" w:hAnsi="Arial"/>
          <w:sz w:val="24"/>
        </w:rPr>
        <w:t xml:space="preserve">minimising emergence of resistance to new and future agents </w:t>
      </w:r>
      <w:r w:rsidR="00DB1AA8" w:rsidRPr="000767AE">
        <w:rPr>
          <w:rFonts w:ascii="Arial" w:hAnsi="Arial"/>
          <w:sz w:val="24"/>
        </w:rPr>
        <w:t xml:space="preserve">is </w:t>
      </w:r>
      <w:r w:rsidR="00A42234" w:rsidRPr="000767AE">
        <w:rPr>
          <w:rFonts w:ascii="Arial" w:hAnsi="Arial"/>
          <w:sz w:val="24"/>
        </w:rPr>
        <w:t xml:space="preserve">therefore essential. </w:t>
      </w:r>
    </w:p>
    <w:p w14:paraId="3482A040" w14:textId="37704173" w:rsidR="00440FC8" w:rsidRPr="000767AE" w:rsidRDefault="005A7274" w:rsidP="005F75AD">
      <w:pPr>
        <w:pStyle w:val="ListParagraph"/>
        <w:numPr>
          <w:ilvl w:val="0"/>
          <w:numId w:val="19"/>
        </w:numPr>
        <w:spacing w:after="0" w:line="240" w:lineRule="auto"/>
        <w:rPr>
          <w:rFonts w:ascii="Arial" w:hAnsi="Arial"/>
          <w:sz w:val="24"/>
        </w:rPr>
      </w:pPr>
      <w:r w:rsidRPr="000767AE">
        <w:rPr>
          <w:rFonts w:ascii="Arial" w:hAnsi="Arial"/>
          <w:sz w:val="24"/>
        </w:rPr>
        <w:t xml:space="preserve">Gaining insight into the mechanisms of </w:t>
      </w:r>
      <w:r w:rsidR="004B3040" w:rsidRPr="000767AE">
        <w:rPr>
          <w:rFonts w:ascii="Arial" w:hAnsi="Arial"/>
          <w:sz w:val="24"/>
        </w:rPr>
        <w:t>AMR,</w:t>
      </w:r>
      <w:r w:rsidR="00EF0F48" w:rsidRPr="000767AE">
        <w:rPr>
          <w:rFonts w:ascii="Arial" w:hAnsi="Arial"/>
          <w:sz w:val="24"/>
        </w:rPr>
        <w:t xml:space="preserve"> </w:t>
      </w:r>
      <w:r w:rsidR="00EE31C9" w:rsidRPr="000767AE">
        <w:rPr>
          <w:rFonts w:ascii="Arial" w:hAnsi="Arial"/>
          <w:sz w:val="24"/>
        </w:rPr>
        <w:t>long-term persistence</w:t>
      </w:r>
      <w:r w:rsidR="00311435" w:rsidRPr="000767AE">
        <w:rPr>
          <w:rFonts w:ascii="Arial" w:hAnsi="Arial"/>
          <w:sz w:val="24"/>
        </w:rPr>
        <w:t>,</w:t>
      </w:r>
      <w:r w:rsidR="00EF0F48" w:rsidRPr="000767AE">
        <w:rPr>
          <w:rFonts w:ascii="Arial" w:hAnsi="Arial"/>
          <w:sz w:val="24"/>
        </w:rPr>
        <w:t xml:space="preserve"> </w:t>
      </w:r>
      <w:r w:rsidR="00EE31C9" w:rsidRPr="000767AE">
        <w:rPr>
          <w:rFonts w:ascii="Arial" w:hAnsi="Arial"/>
          <w:sz w:val="24"/>
        </w:rPr>
        <w:t xml:space="preserve">and successful </w:t>
      </w:r>
      <w:r w:rsidR="004B3040" w:rsidRPr="000767AE">
        <w:rPr>
          <w:rFonts w:ascii="Arial" w:hAnsi="Arial"/>
          <w:sz w:val="24"/>
        </w:rPr>
        <w:t xml:space="preserve">clonal </w:t>
      </w:r>
      <w:r w:rsidR="00EE31C9" w:rsidRPr="000767AE">
        <w:rPr>
          <w:rFonts w:ascii="Arial" w:hAnsi="Arial"/>
          <w:sz w:val="24"/>
        </w:rPr>
        <w:t>spread</w:t>
      </w:r>
      <w:r w:rsidRPr="000767AE">
        <w:rPr>
          <w:rFonts w:ascii="Arial" w:hAnsi="Arial"/>
          <w:sz w:val="24"/>
        </w:rPr>
        <w:t>,</w:t>
      </w:r>
      <w:r w:rsidR="00EE31C9" w:rsidRPr="000767AE">
        <w:rPr>
          <w:rFonts w:ascii="Arial" w:hAnsi="Arial"/>
          <w:sz w:val="24"/>
        </w:rPr>
        <w:t xml:space="preserve"> is fundamental </w:t>
      </w:r>
      <w:r w:rsidR="004B3040" w:rsidRPr="000767AE">
        <w:rPr>
          <w:rFonts w:ascii="Arial" w:hAnsi="Arial"/>
          <w:sz w:val="24"/>
        </w:rPr>
        <w:t>to</w:t>
      </w:r>
      <w:r w:rsidR="00EE31C9" w:rsidRPr="000767AE">
        <w:rPr>
          <w:rFonts w:ascii="Arial" w:hAnsi="Arial"/>
          <w:sz w:val="24"/>
        </w:rPr>
        <w:t xml:space="preserve"> </w:t>
      </w:r>
      <w:r w:rsidR="00EF0F48" w:rsidRPr="000767AE">
        <w:rPr>
          <w:rFonts w:ascii="Arial" w:hAnsi="Arial"/>
          <w:sz w:val="24"/>
        </w:rPr>
        <w:t xml:space="preserve">the </w:t>
      </w:r>
      <w:r w:rsidR="00EE31C9" w:rsidRPr="000767AE">
        <w:rPr>
          <w:rFonts w:ascii="Arial" w:hAnsi="Arial"/>
          <w:sz w:val="24"/>
        </w:rPr>
        <w:t>development of n</w:t>
      </w:r>
      <w:r w:rsidR="008248E2" w:rsidRPr="000767AE">
        <w:rPr>
          <w:rFonts w:ascii="Arial" w:hAnsi="Arial"/>
          <w:sz w:val="24"/>
        </w:rPr>
        <w:t xml:space="preserve">ovel targets for both diagnostic tests and therapeutic agents </w:t>
      </w:r>
      <w:r w:rsidR="007476F4" w:rsidRPr="000767AE">
        <w:rPr>
          <w:rFonts w:ascii="Arial" w:hAnsi="Arial"/>
          <w:sz w:val="24"/>
        </w:rPr>
        <w:t>with</w:t>
      </w:r>
      <w:r w:rsidR="008248E2" w:rsidRPr="000767AE">
        <w:rPr>
          <w:rFonts w:ascii="Arial" w:hAnsi="Arial"/>
          <w:sz w:val="24"/>
        </w:rPr>
        <w:t xml:space="preserve"> integrati</w:t>
      </w:r>
      <w:r w:rsidR="007476F4" w:rsidRPr="000767AE">
        <w:rPr>
          <w:rFonts w:ascii="Arial" w:hAnsi="Arial"/>
          <w:sz w:val="24"/>
        </w:rPr>
        <w:t>on of</w:t>
      </w:r>
      <w:r w:rsidR="008248E2" w:rsidRPr="000767AE">
        <w:rPr>
          <w:rFonts w:ascii="Arial" w:hAnsi="Arial"/>
          <w:sz w:val="24"/>
        </w:rPr>
        <w:t xml:space="preserve"> these into </w:t>
      </w:r>
      <w:r w:rsidR="00EE31C9" w:rsidRPr="000767AE">
        <w:rPr>
          <w:rFonts w:ascii="Arial" w:hAnsi="Arial"/>
          <w:sz w:val="24"/>
        </w:rPr>
        <w:t xml:space="preserve">sustainable </w:t>
      </w:r>
      <w:r w:rsidR="004B3040" w:rsidRPr="000767AE">
        <w:rPr>
          <w:rFonts w:ascii="Arial" w:hAnsi="Arial"/>
          <w:sz w:val="24"/>
        </w:rPr>
        <w:t>AMR</w:t>
      </w:r>
      <w:r w:rsidR="0039446A" w:rsidRPr="000767AE">
        <w:rPr>
          <w:rFonts w:ascii="Arial" w:hAnsi="Arial"/>
          <w:sz w:val="24"/>
        </w:rPr>
        <w:t xml:space="preserve"> stra</w:t>
      </w:r>
      <w:r w:rsidR="0025614C" w:rsidRPr="000767AE">
        <w:rPr>
          <w:rFonts w:ascii="Arial" w:hAnsi="Arial"/>
          <w:sz w:val="24"/>
        </w:rPr>
        <w:t>tegies</w:t>
      </w:r>
      <w:r w:rsidR="00EE31C9" w:rsidRPr="000767AE">
        <w:rPr>
          <w:rFonts w:ascii="Arial" w:hAnsi="Arial"/>
          <w:sz w:val="24"/>
        </w:rPr>
        <w:t>.</w:t>
      </w:r>
    </w:p>
    <w:p w14:paraId="509C761B" w14:textId="3A7C8888" w:rsidR="005F75AD" w:rsidRPr="000767AE" w:rsidRDefault="00A42234" w:rsidP="005F75AD">
      <w:pPr>
        <w:pStyle w:val="ListParagraph"/>
        <w:numPr>
          <w:ilvl w:val="0"/>
          <w:numId w:val="19"/>
        </w:numPr>
        <w:spacing w:after="0" w:line="240" w:lineRule="auto"/>
        <w:rPr>
          <w:rFonts w:ascii="Arial" w:hAnsi="Arial"/>
          <w:sz w:val="24"/>
        </w:rPr>
      </w:pPr>
      <w:r w:rsidRPr="000767AE">
        <w:rPr>
          <w:rFonts w:ascii="Arial" w:hAnsi="Arial"/>
          <w:sz w:val="24"/>
        </w:rPr>
        <w:t>G</w:t>
      </w:r>
      <w:r w:rsidR="00DB1AA8" w:rsidRPr="000767AE">
        <w:rPr>
          <w:rFonts w:ascii="Arial" w:hAnsi="Arial"/>
          <w:sz w:val="24"/>
        </w:rPr>
        <w:t>aps</w:t>
      </w:r>
      <w:r w:rsidR="005F75AD" w:rsidRPr="000767AE">
        <w:rPr>
          <w:rFonts w:ascii="Arial" w:hAnsi="Arial"/>
          <w:sz w:val="24"/>
        </w:rPr>
        <w:t xml:space="preserve"> in understanding</w:t>
      </w:r>
      <w:r w:rsidRPr="000767AE">
        <w:rPr>
          <w:rFonts w:ascii="Arial" w:hAnsi="Arial"/>
          <w:sz w:val="24"/>
        </w:rPr>
        <w:t xml:space="preserve"> and areas for innovation are clear, yet progress towards these goals is still urgently needed</w:t>
      </w:r>
      <w:r w:rsidR="00000B0D" w:rsidRPr="000767AE">
        <w:rPr>
          <w:rFonts w:ascii="Arial" w:hAnsi="Arial"/>
          <w:sz w:val="24"/>
        </w:rPr>
        <w:t>,</w:t>
      </w:r>
      <w:r w:rsidRPr="000767AE">
        <w:rPr>
          <w:rFonts w:ascii="Arial" w:hAnsi="Arial"/>
          <w:sz w:val="24"/>
        </w:rPr>
        <w:t xml:space="preserve"> with </w:t>
      </w:r>
      <w:r w:rsidR="00000B0D" w:rsidRPr="000767AE">
        <w:rPr>
          <w:rFonts w:ascii="Arial" w:hAnsi="Arial"/>
          <w:sz w:val="24"/>
        </w:rPr>
        <w:t xml:space="preserve">a careful awareness </w:t>
      </w:r>
      <w:r w:rsidRPr="000767AE">
        <w:rPr>
          <w:rFonts w:ascii="Arial" w:hAnsi="Arial"/>
          <w:sz w:val="24"/>
        </w:rPr>
        <w:t xml:space="preserve">of </w:t>
      </w:r>
      <w:r w:rsidR="002A3902" w:rsidRPr="000767AE">
        <w:rPr>
          <w:rFonts w:ascii="Arial" w:hAnsi="Arial"/>
          <w:sz w:val="24"/>
        </w:rPr>
        <w:t xml:space="preserve">any </w:t>
      </w:r>
      <w:r w:rsidR="00254894" w:rsidRPr="000767AE">
        <w:rPr>
          <w:rFonts w:ascii="Arial" w:hAnsi="Arial"/>
          <w:sz w:val="24"/>
        </w:rPr>
        <w:t xml:space="preserve">potential </w:t>
      </w:r>
      <w:r w:rsidR="002A3902" w:rsidRPr="000767AE">
        <w:rPr>
          <w:rFonts w:ascii="Arial" w:hAnsi="Arial"/>
          <w:sz w:val="24"/>
        </w:rPr>
        <w:t xml:space="preserve">impact </w:t>
      </w:r>
      <w:r w:rsidR="00254894" w:rsidRPr="000767AE">
        <w:rPr>
          <w:rFonts w:ascii="Arial" w:hAnsi="Arial"/>
          <w:sz w:val="24"/>
        </w:rPr>
        <w:t xml:space="preserve">on </w:t>
      </w:r>
      <w:r w:rsidRPr="000767AE">
        <w:rPr>
          <w:rFonts w:ascii="Arial" w:hAnsi="Arial"/>
          <w:sz w:val="24"/>
        </w:rPr>
        <w:t xml:space="preserve">access to effective </w:t>
      </w:r>
      <w:r w:rsidR="002A3902" w:rsidRPr="000767AE">
        <w:rPr>
          <w:rFonts w:ascii="Arial" w:hAnsi="Arial"/>
          <w:sz w:val="24"/>
        </w:rPr>
        <w:t>antimicrobial treatment</w:t>
      </w:r>
      <w:r w:rsidRPr="000767AE">
        <w:rPr>
          <w:rFonts w:ascii="Arial" w:hAnsi="Arial"/>
          <w:sz w:val="24"/>
        </w:rPr>
        <w:t>.</w:t>
      </w:r>
    </w:p>
    <w:p w14:paraId="642A6AE8" w14:textId="0EBB1AB9" w:rsidR="007716CC" w:rsidRPr="000767AE" w:rsidRDefault="00DB1AA8" w:rsidP="007716CC">
      <w:pPr>
        <w:pStyle w:val="ListParagraph"/>
        <w:numPr>
          <w:ilvl w:val="0"/>
          <w:numId w:val="19"/>
        </w:numPr>
        <w:spacing w:after="0" w:line="240" w:lineRule="auto"/>
        <w:rPr>
          <w:rFonts w:ascii="Arial" w:hAnsi="Arial"/>
          <w:b/>
          <w:sz w:val="24"/>
        </w:rPr>
      </w:pPr>
      <w:r w:rsidRPr="000767AE">
        <w:rPr>
          <w:rFonts w:ascii="Arial" w:hAnsi="Arial" w:cs="Arial"/>
          <w:sz w:val="24"/>
          <w:szCs w:val="24"/>
          <w:lang w:val="en-US"/>
        </w:rPr>
        <w:t>There is no single solution and multiple, synergistic, overlapping and complement</w:t>
      </w:r>
      <w:r w:rsidR="002A3902" w:rsidRPr="000767AE">
        <w:rPr>
          <w:rFonts w:ascii="Arial" w:hAnsi="Arial" w:cs="Arial"/>
          <w:sz w:val="24"/>
          <w:szCs w:val="24"/>
          <w:lang w:val="en-US"/>
        </w:rPr>
        <w:t>ing</w:t>
      </w:r>
      <w:r w:rsidRPr="000767AE">
        <w:rPr>
          <w:rFonts w:ascii="Arial" w:hAnsi="Arial" w:cs="Arial"/>
          <w:sz w:val="24"/>
          <w:szCs w:val="24"/>
          <w:lang w:val="en-US"/>
        </w:rPr>
        <w:t xml:space="preserve"> approaches will be needed</w:t>
      </w:r>
      <w:r w:rsidR="002A3902" w:rsidRPr="000767AE">
        <w:rPr>
          <w:rFonts w:ascii="Arial" w:hAnsi="Arial" w:cs="Arial"/>
          <w:sz w:val="24"/>
          <w:szCs w:val="24"/>
          <w:lang w:val="en-US"/>
        </w:rPr>
        <w:t>,</w:t>
      </w:r>
      <w:r w:rsidRPr="000767AE">
        <w:rPr>
          <w:rFonts w:ascii="Arial" w:hAnsi="Arial" w:cs="Arial"/>
          <w:sz w:val="24"/>
          <w:szCs w:val="24"/>
          <w:lang w:val="en-US"/>
        </w:rPr>
        <w:t xml:space="preserve"> with a strong overarching </w:t>
      </w:r>
      <w:r w:rsidR="002A3902" w:rsidRPr="000767AE">
        <w:rPr>
          <w:rFonts w:ascii="Arial" w:hAnsi="Arial" w:cs="Arial"/>
          <w:sz w:val="24"/>
          <w:szCs w:val="24"/>
          <w:lang w:val="en-US"/>
        </w:rPr>
        <w:t xml:space="preserve">shared </w:t>
      </w:r>
      <w:r w:rsidRPr="000767AE">
        <w:rPr>
          <w:rFonts w:ascii="Arial" w:hAnsi="Arial" w:cs="Arial"/>
          <w:sz w:val="24"/>
          <w:szCs w:val="24"/>
          <w:lang w:val="en-US"/>
        </w:rPr>
        <w:t xml:space="preserve">goal to ensure </w:t>
      </w:r>
      <w:r w:rsidR="002A3902" w:rsidRPr="000767AE">
        <w:rPr>
          <w:rFonts w:ascii="Arial" w:hAnsi="Arial" w:cs="Arial"/>
          <w:sz w:val="24"/>
          <w:szCs w:val="24"/>
          <w:lang w:val="en-US"/>
        </w:rPr>
        <w:t xml:space="preserve">and sustain </w:t>
      </w:r>
      <w:r w:rsidRPr="000767AE">
        <w:rPr>
          <w:rFonts w:ascii="Arial" w:hAnsi="Arial" w:cs="Arial"/>
          <w:sz w:val="24"/>
          <w:szCs w:val="24"/>
          <w:lang w:val="en-US"/>
        </w:rPr>
        <w:t>access to effective antimicrobial therapies</w:t>
      </w:r>
      <w:r w:rsidR="002A3902" w:rsidRPr="000767AE">
        <w:rPr>
          <w:rFonts w:ascii="Arial" w:hAnsi="Arial" w:cs="Arial"/>
          <w:sz w:val="24"/>
          <w:szCs w:val="24"/>
          <w:lang w:val="en-US"/>
        </w:rPr>
        <w:t>.</w:t>
      </w:r>
      <w:r w:rsidR="007716CC" w:rsidRPr="000767AE">
        <w:rPr>
          <w:rFonts w:ascii="Arial" w:hAnsi="Arial"/>
          <w:b/>
          <w:sz w:val="24"/>
        </w:rPr>
        <w:br w:type="page"/>
      </w:r>
    </w:p>
    <w:p w14:paraId="3B3D4627" w14:textId="4B82635B" w:rsidR="00B633D3" w:rsidRPr="000767AE" w:rsidRDefault="00B633D3" w:rsidP="007716CC">
      <w:pPr>
        <w:pStyle w:val="Heading2"/>
        <w:spacing w:before="0"/>
        <w:rPr>
          <w:rFonts w:ascii="Arial" w:hAnsi="Arial"/>
          <w:b/>
          <w:sz w:val="24"/>
        </w:rPr>
      </w:pPr>
      <w:r w:rsidRPr="000767AE">
        <w:rPr>
          <w:rFonts w:ascii="Arial" w:hAnsi="Arial"/>
          <w:b/>
          <w:sz w:val="24"/>
        </w:rPr>
        <w:lastRenderedPageBreak/>
        <w:t>Introduction</w:t>
      </w:r>
    </w:p>
    <w:p w14:paraId="0B74559C" w14:textId="77777777" w:rsidR="00B633D3" w:rsidRPr="000767AE" w:rsidRDefault="00B633D3" w:rsidP="00A053CE">
      <w:pPr>
        <w:rPr>
          <w:rFonts w:ascii="Arial" w:hAnsi="Arial"/>
          <w:sz w:val="24"/>
        </w:rPr>
      </w:pPr>
    </w:p>
    <w:p w14:paraId="6F1D1308" w14:textId="1AA38255" w:rsidR="0041598A" w:rsidRDefault="00935BD3" w:rsidP="00A053CE">
      <w:pPr>
        <w:rPr>
          <w:rFonts w:ascii="Arial" w:hAnsi="Arial"/>
          <w:sz w:val="24"/>
        </w:rPr>
      </w:pPr>
      <w:r w:rsidRPr="000767AE">
        <w:rPr>
          <w:rFonts w:ascii="Arial" w:hAnsi="Arial"/>
          <w:sz w:val="24"/>
        </w:rPr>
        <w:t xml:space="preserve">The </w:t>
      </w:r>
      <w:r w:rsidR="00D606AD" w:rsidRPr="000767AE">
        <w:rPr>
          <w:rFonts w:ascii="Arial" w:hAnsi="Arial"/>
          <w:sz w:val="24"/>
        </w:rPr>
        <w:t>increasing challenge to health care</w:t>
      </w:r>
      <w:r w:rsidR="00516731" w:rsidRPr="000767AE">
        <w:rPr>
          <w:rFonts w:ascii="Arial" w:hAnsi="Arial"/>
          <w:sz w:val="24"/>
        </w:rPr>
        <w:t xml:space="preserve"> </w:t>
      </w:r>
      <w:r w:rsidRPr="000767AE">
        <w:rPr>
          <w:rFonts w:ascii="Arial" w:hAnsi="Arial"/>
          <w:sz w:val="24"/>
        </w:rPr>
        <w:t xml:space="preserve">attributable to </w:t>
      </w:r>
      <w:r w:rsidR="00A44B2E" w:rsidRPr="000767AE">
        <w:rPr>
          <w:rFonts w:ascii="Arial" w:hAnsi="Arial"/>
          <w:sz w:val="24"/>
        </w:rPr>
        <w:t>antimicrobial resistance</w:t>
      </w:r>
      <w:r w:rsidR="00063872" w:rsidRPr="000767AE">
        <w:rPr>
          <w:rFonts w:ascii="Arial" w:hAnsi="Arial"/>
          <w:sz w:val="24"/>
        </w:rPr>
        <w:t xml:space="preserve"> (AMR)</w:t>
      </w:r>
      <w:r w:rsidR="00BC5746" w:rsidRPr="000767AE">
        <w:rPr>
          <w:rFonts w:ascii="Arial" w:hAnsi="Arial"/>
          <w:sz w:val="24"/>
        </w:rPr>
        <w:t>,</w:t>
      </w:r>
      <w:r w:rsidR="00A44B2E" w:rsidRPr="000767AE">
        <w:rPr>
          <w:rFonts w:ascii="Arial" w:hAnsi="Arial"/>
          <w:sz w:val="24"/>
        </w:rPr>
        <w:t xml:space="preserve"> and </w:t>
      </w:r>
      <w:r w:rsidRPr="000767AE">
        <w:rPr>
          <w:rFonts w:ascii="Arial" w:hAnsi="Arial"/>
          <w:sz w:val="24"/>
        </w:rPr>
        <w:t xml:space="preserve">the </w:t>
      </w:r>
      <w:r w:rsidR="00A44B2E" w:rsidRPr="000767AE">
        <w:rPr>
          <w:rFonts w:ascii="Arial" w:hAnsi="Arial"/>
          <w:sz w:val="24"/>
        </w:rPr>
        <w:t xml:space="preserve">subsequent </w:t>
      </w:r>
      <w:r w:rsidRPr="000767AE">
        <w:rPr>
          <w:rFonts w:ascii="Arial" w:hAnsi="Arial"/>
          <w:sz w:val="24"/>
        </w:rPr>
        <w:t xml:space="preserve">lack of access to </w:t>
      </w:r>
      <w:r w:rsidR="00D606AD" w:rsidRPr="000767AE">
        <w:rPr>
          <w:rFonts w:ascii="Arial" w:hAnsi="Arial"/>
          <w:sz w:val="24"/>
        </w:rPr>
        <w:t xml:space="preserve">effective </w:t>
      </w:r>
      <w:r w:rsidR="00063872" w:rsidRPr="000767AE">
        <w:rPr>
          <w:rFonts w:ascii="Arial" w:hAnsi="Arial"/>
          <w:sz w:val="24"/>
        </w:rPr>
        <w:t>antimicrobials</w:t>
      </w:r>
      <w:r w:rsidR="00504EEC" w:rsidRPr="000767AE">
        <w:rPr>
          <w:rFonts w:ascii="Arial" w:hAnsi="Arial"/>
          <w:sz w:val="24"/>
        </w:rPr>
        <w:t>,</w:t>
      </w:r>
      <w:r w:rsidRPr="000767AE">
        <w:rPr>
          <w:rFonts w:ascii="Arial" w:hAnsi="Arial"/>
          <w:sz w:val="24"/>
        </w:rPr>
        <w:t xml:space="preserve"> is </w:t>
      </w:r>
      <w:r w:rsidR="00D606AD" w:rsidRPr="000767AE">
        <w:rPr>
          <w:rFonts w:ascii="Arial" w:hAnsi="Arial"/>
          <w:sz w:val="24"/>
        </w:rPr>
        <w:t xml:space="preserve">of </w:t>
      </w:r>
      <w:r w:rsidRPr="000767AE">
        <w:rPr>
          <w:rFonts w:ascii="Arial" w:hAnsi="Arial"/>
          <w:sz w:val="24"/>
        </w:rPr>
        <w:t xml:space="preserve">global </w:t>
      </w:r>
      <w:r w:rsidR="00466FBC" w:rsidRPr="000767AE">
        <w:rPr>
          <w:rFonts w:ascii="Arial" w:hAnsi="Arial"/>
          <w:sz w:val="24"/>
        </w:rPr>
        <w:t>concern</w:t>
      </w:r>
      <w:r w:rsidR="00976C10" w:rsidRPr="000767AE">
        <w:rPr>
          <w:rFonts w:ascii="Arial" w:hAnsi="Arial"/>
          <w:sz w:val="24"/>
        </w:rPr>
        <w:t xml:space="preserve">. </w:t>
      </w:r>
      <w:r w:rsidR="00466FBC" w:rsidRPr="000767AE">
        <w:rPr>
          <w:rFonts w:ascii="Arial" w:hAnsi="Arial"/>
          <w:sz w:val="24"/>
        </w:rPr>
        <w:t>There is a real threat that</w:t>
      </w:r>
      <w:r w:rsidR="009F5958" w:rsidRPr="000767AE">
        <w:rPr>
          <w:rFonts w:ascii="Arial" w:hAnsi="Arial"/>
          <w:sz w:val="24"/>
        </w:rPr>
        <w:t xml:space="preserve"> </w:t>
      </w:r>
      <w:r w:rsidR="00D66221" w:rsidRPr="000767AE">
        <w:rPr>
          <w:rFonts w:ascii="Arial" w:hAnsi="Arial"/>
          <w:sz w:val="24"/>
        </w:rPr>
        <w:t xml:space="preserve">the </w:t>
      </w:r>
      <w:r w:rsidR="009F5958" w:rsidRPr="000767AE">
        <w:rPr>
          <w:rFonts w:ascii="Arial" w:hAnsi="Arial"/>
          <w:sz w:val="24"/>
        </w:rPr>
        <w:t xml:space="preserve">public health gains from improved access to antimicrobials, including </w:t>
      </w:r>
      <w:r w:rsidR="00D66221" w:rsidRPr="000767AE">
        <w:rPr>
          <w:rFonts w:ascii="Arial" w:hAnsi="Arial"/>
          <w:sz w:val="24"/>
        </w:rPr>
        <w:t xml:space="preserve">the gains in </w:t>
      </w:r>
      <w:r w:rsidR="00976C10" w:rsidRPr="000767AE">
        <w:rPr>
          <w:rFonts w:ascii="Arial" w:hAnsi="Arial"/>
          <w:sz w:val="24"/>
        </w:rPr>
        <w:t>child</w:t>
      </w:r>
      <w:r w:rsidR="009F5958" w:rsidRPr="000767AE">
        <w:rPr>
          <w:rFonts w:ascii="Arial" w:hAnsi="Arial"/>
          <w:sz w:val="24"/>
        </w:rPr>
        <w:t xml:space="preserve">hood </w:t>
      </w:r>
      <w:r w:rsidR="00976C10" w:rsidRPr="000767AE">
        <w:rPr>
          <w:rFonts w:ascii="Arial" w:hAnsi="Arial"/>
          <w:sz w:val="24"/>
        </w:rPr>
        <w:t>survival</w:t>
      </w:r>
      <w:r w:rsidR="009F5958" w:rsidRPr="000767AE">
        <w:rPr>
          <w:rFonts w:ascii="Arial" w:hAnsi="Arial"/>
          <w:sz w:val="24"/>
        </w:rPr>
        <w:t>,</w:t>
      </w:r>
      <w:r w:rsidR="00976C10" w:rsidRPr="000767AE">
        <w:rPr>
          <w:rFonts w:ascii="Arial" w:hAnsi="Arial"/>
          <w:sz w:val="24"/>
        </w:rPr>
        <w:t xml:space="preserve"> </w:t>
      </w:r>
      <w:r w:rsidR="00D66221" w:rsidRPr="000767AE">
        <w:rPr>
          <w:rFonts w:ascii="Arial" w:hAnsi="Arial"/>
          <w:sz w:val="24"/>
        </w:rPr>
        <w:t>could be undermined</w:t>
      </w:r>
      <w:r w:rsidRPr="000767AE">
        <w:rPr>
          <w:rFonts w:ascii="Arial" w:hAnsi="Arial"/>
          <w:sz w:val="24"/>
        </w:rPr>
        <w:t>.</w:t>
      </w:r>
      <w:r w:rsidR="0081077D" w:rsidRPr="000767AE">
        <w:rPr>
          <w:rFonts w:ascii="Arial" w:hAnsi="Arial"/>
          <w:sz w:val="24"/>
        </w:rPr>
        <w:fldChar w:fldCharType="begin" w:fldLock="1"/>
      </w:r>
      <w:r w:rsidR="0081077D" w:rsidRPr="000767AE">
        <w:rPr>
          <w:rFonts w:ascii="Arial" w:hAnsi="Arial"/>
          <w:sz w:val="24"/>
        </w:rPr>
        <w:instrText>ADDIN CSL_CITATION { "citationItems" : [ { "id" : "ITEM-1", "itemData" : { "author" : [ { "dropping-particle" : "", "family" : "Laxminarayan", "given" : "Ramanan", "non-dropping-particle" : "", "parse-names" : false, "suffix" : "" }, { "dropping-particle" : "", "family" : "Matsoso", "given" : "Precious", "non-dropping-particle" : "", "parse-names" : false, "suffix" : "" }, { "dropping-particle" : "", "family" : "Klugman", "given" : "Keith P", "non-dropping-particle" : "", "parse-names" : false, "suffix" : "" }, { "dropping-particle" : "", "family" : "Pant", "given" : "Suraj", "non-dropping-particle" : "", "parse-names" : false, "suffix" : "" }, { "dropping-particle" : "", "family" : "Brower", "given" : "Charles", "non-dropping-particle" : "", "parse-names" : false, "suffix" : "" }, { "dropping-particle" : "", "family" : "Barter", "given" : "Devra", "non-dropping-particle" : "", "parse-names" : false, "suffix" : "" }, { "dropping-particle" : "", "family" : "Rottingen", "given" : "John-Arne", "non-dropping-particle" : "", "parse-names" : false, "suffix" : "" }, { "dropping-particle" : "", "family" : "Davies", "given" : "Sally C", "non-dropping-particle" : "", "parse-names" : false, "suffix" : "" } ], "container-title" : "The Lancet", "id" : "ITEM-1", "issued" : { "date-parts" : [ [ "2015" ] ] }, "page" : "[under review]", "title" : "Access to Effective Antimicrobials: Securing human and animal health", "type" : "article-journal" }, "uris" : [ "http://www.mendeley.com/documents/?uuid=f94d5e55-dded-4a36-9a6c-2cb4674bf732" ] } ], "mendeley" : { "formattedCitation" : "&lt;sup&gt;1&lt;/sup&gt;", "plainTextFormattedCitation" : "1", "previouslyFormattedCitation" : "&lt;sup&gt;1&lt;/sup&gt;" }, "properties" : { "noteIndex" : 0 }, "schema" : "https://github.com/citation-style-language/schema/raw/master/csl-citation.json" }</w:instrText>
      </w:r>
      <w:r w:rsidR="0081077D" w:rsidRPr="000767AE">
        <w:rPr>
          <w:rFonts w:ascii="Arial" w:hAnsi="Arial"/>
          <w:sz w:val="24"/>
        </w:rPr>
        <w:fldChar w:fldCharType="separate"/>
      </w:r>
      <w:r w:rsidR="0081077D" w:rsidRPr="000767AE">
        <w:rPr>
          <w:rFonts w:ascii="Arial" w:hAnsi="Arial"/>
          <w:noProof/>
          <w:sz w:val="24"/>
          <w:vertAlign w:val="superscript"/>
        </w:rPr>
        <w:t>1</w:t>
      </w:r>
      <w:r w:rsidR="0081077D" w:rsidRPr="000767AE">
        <w:rPr>
          <w:rFonts w:ascii="Arial" w:hAnsi="Arial"/>
          <w:sz w:val="24"/>
        </w:rPr>
        <w:fldChar w:fldCharType="end"/>
      </w:r>
      <w:r w:rsidRPr="000767AE">
        <w:rPr>
          <w:rFonts w:ascii="Arial" w:hAnsi="Arial"/>
          <w:sz w:val="24"/>
        </w:rPr>
        <w:t xml:space="preserve"> </w:t>
      </w:r>
      <w:r w:rsidR="00462FA2" w:rsidRPr="000767AE">
        <w:rPr>
          <w:rFonts w:ascii="Arial" w:hAnsi="Arial"/>
          <w:sz w:val="24"/>
        </w:rPr>
        <w:t xml:space="preserve">Understanding </w:t>
      </w:r>
      <w:r w:rsidR="00A053CE" w:rsidRPr="000767AE">
        <w:rPr>
          <w:rFonts w:ascii="Arial" w:hAnsi="Arial"/>
          <w:sz w:val="24"/>
        </w:rPr>
        <w:t xml:space="preserve">the scientific </w:t>
      </w:r>
      <w:r w:rsidR="007C7E72" w:rsidRPr="000767AE">
        <w:rPr>
          <w:rFonts w:ascii="Arial" w:hAnsi="Arial"/>
          <w:sz w:val="24"/>
        </w:rPr>
        <w:t>basis</w:t>
      </w:r>
      <w:r w:rsidR="00A053CE" w:rsidRPr="000767AE">
        <w:rPr>
          <w:rFonts w:ascii="Arial" w:hAnsi="Arial"/>
          <w:sz w:val="24"/>
        </w:rPr>
        <w:t xml:space="preserve"> </w:t>
      </w:r>
      <w:r w:rsidR="00B633D3" w:rsidRPr="000767AE">
        <w:rPr>
          <w:rFonts w:ascii="Arial" w:hAnsi="Arial"/>
          <w:sz w:val="24"/>
        </w:rPr>
        <w:t xml:space="preserve">of </w:t>
      </w:r>
      <w:r w:rsidR="00903F75" w:rsidRPr="000767AE">
        <w:rPr>
          <w:rFonts w:ascii="Arial" w:hAnsi="Arial"/>
          <w:sz w:val="24"/>
        </w:rPr>
        <w:t xml:space="preserve">AMR </w:t>
      </w:r>
      <w:r w:rsidR="009E369F" w:rsidRPr="000767AE">
        <w:rPr>
          <w:rFonts w:ascii="Arial" w:hAnsi="Arial"/>
          <w:sz w:val="24"/>
        </w:rPr>
        <w:t xml:space="preserve">is essential to combatting this </w:t>
      </w:r>
      <w:r w:rsidR="009F5958" w:rsidRPr="000767AE">
        <w:rPr>
          <w:rFonts w:ascii="Arial" w:hAnsi="Arial"/>
          <w:sz w:val="24"/>
        </w:rPr>
        <w:t xml:space="preserve">public health </w:t>
      </w:r>
      <w:r w:rsidR="009E369F" w:rsidRPr="000767AE">
        <w:rPr>
          <w:rFonts w:ascii="Arial" w:hAnsi="Arial"/>
          <w:sz w:val="24"/>
        </w:rPr>
        <w:t xml:space="preserve">threat. </w:t>
      </w:r>
      <w:r w:rsidR="00903F75" w:rsidRPr="000767AE">
        <w:rPr>
          <w:rFonts w:ascii="Arial" w:hAnsi="Arial"/>
          <w:sz w:val="24"/>
        </w:rPr>
        <w:t xml:space="preserve">An understanding that </w:t>
      </w:r>
      <w:r w:rsidR="00B50E63" w:rsidRPr="000767AE">
        <w:rPr>
          <w:rFonts w:ascii="Arial" w:hAnsi="Arial"/>
          <w:sz w:val="24"/>
        </w:rPr>
        <w:t xml:space="preserve">must cover </w:t>
      </w:r>
      <w:r w:rsidR="00903F75" w:rsidRPr="000767AE">
        <w:rPr>
          <w:rFonts w:ascii="Arial" w:hAnsi="Arial"/>
          <w:sz w:val="24"/>
        </w:rPr>
        <w:t xml:space="preserve">the </w:t>
      </w:r>
      <w:r w:rsidR="009F5958" w:rsidRPr="000767AE">
        <w:rPr>
          <w:rFonts w:ascii="Arial" w:hAnsi="Arial"/>
          <w:sz w:val="24"/>
        </w:rPr>
        <w:t>resistance</w:t>
      </w:r>
      <w:r w:rsidR="00CA6646" w:rsidRPr="000767AE">
        <w:rPr>
          <w:rFonts w:ascii="Arial" w:hAnsi="Arial"/>
          <w:sz w:val="24"/>
        </w:rPr>
        <w:t xml:space="preserve"> mechanisms</w:t>
      </w:r>
      <w:r w:rsidR="009E369F" w:rsidRPr="000767AE">
        <w:rPr>
          <w:rFonts w:ascii="Arial" w:hAnsi="Arial"/>
          <w:sz w:val="24"/>
        </w:rPr>
        <w:t>,</w:t>
      </w:r>
      <w:r w:rsidR="00CA6646" w:rsidRPr="000767AE">
        <w:rPr>
          <w:rFonts w:ascii="Arial" w:hAnsi="Arial"/>
          <w:sz w:val="24"/>
        </w:rPr>
        <w:t xml:space="preserve"> enabl</w:t>
      </w:r>
      <w:r w:rsidR="009E369F" w:rsidRPr="000767AE">
        <w:rPr>
          <w:rFonts w:ascii="Arial" w:hAnsi="Arial"/>
          <w:sz w:val="24"/>
        </w:rPr>
        <w:t>ing</w:t>
      </w:r>
      <w:r w:rsidR="00CA6646" w:rsidRPr="000767AE">
        <w:rPr>
          <w:rFonts w:ascii="Arial" w:hAnsi="Arial"/>
          <w:sz w:val="24"/>
        </w:rPr>
        <w:t xml:space="preserve"> novel approaches to diagnostics and therapeutics,</w:t>
      </w:r>
      <w:r w:rsidR="009E369F" w:rsidRPr="000767AE">
        <w:rPr>
          <w:rFonts w:ascii="Arial" w:hAnsi="Arial"/>
          <w:sz w:val="24"/>
        </w:rPr>
        <w:t xml:space="preserve"> through to </w:t>
      </w:r>
      <w:r w:rsidR="007C51C8" w:rsidRPr="000767AE">
        <w:rPr>
          <w:rFonts w:ascii="Arial" w:hAnsi="Arial"/>
          <w:sz w:val="24"/>
        </w:rPr>
        <w:t>the drivers of</w:t>
      </w:r>
      <w:r w:rsidR="00B633D3" w:rsidRPr="000767AE">
        <w:rPr>
          <w:rFonts w:ascii="Arial" w:hAnsi="Arial"/>
          <w:sz w:val="24"/>
        </w:rPr>
        <w:t xml:space="preserve"> </w:t>
      </w:r>
      <w:r w:rsidR="00A44B2E" w:rsidRPr="000767AE">
        <w:rPr>
          <w:rFonts w:ascii="Arial" w:hAnsi="Arial"/>
          <w:sz w:val="24"/>
        </w:rPr>
        <w:t>AMR</w:t>
      </w:r>
      <w:r w:rsidR="009F7F45" w:rsidRPr="000767AE">
        <w:rPr>
          <w:rFonts w:ascii="Arial" w:hAnsi="Arial"/>
          <w:sz w:val="24"/>
        </w:rPr>
        <w:t xml:space="preserve"> </w:t>
      </w:r>
      <w:r w:rsidR="009F5958" w:rsidRPr="000767AE">
        <w:rPr>
          <w:rFonts w:ascii="Arial" w:hAnsi="Arial"/>
          <w:sz w:val="24"/>
        </w:rPr>
        <w:t xml:space="preserve">in </w:t>
      </w:r>
      <w:r w:rsidR="009F7F45" w:rsidRPr="000767AE">
        <w:rPr>
          <w:rFonts w:ascii="Arial" w:hAnsi="Arial"/>
          <w:sz w:val="24"/>
        </w:rPr>
        <w:t xml:space="preserve">society and </w:t>
      </w:r>
      <w:r w:rsidR="00903F75" w:rsidRPr="000767AE">
        <w:rPr>
          <w:rFonts w:ascii="Arial" w:hAnsi="Arial"/>
          <w:sz w:val="24"/>
        </w:rPr>
        <w:t xml:space="preserve">the </w:t>
      </w:r>
      <w:r w:rsidR="009F7F45" w:rsidRPr="000767AE">
        <w:rPr>
          <w:rFonts w:ascii="Arial" w:hAnsi="Arial"/>
          <w:sz w:val="24"/>
        </w:rPr>
        <w:t>environment</w:t>
      </w:r>
      <w:r w:rsidR="007C7E72" w:rsidRPr="000767AE">
        <w:rPr>
          <w:rFonts w:ascii="Arial" w:hAnsi="Arial"/>
          <w:sz w:val="24"/>
        </w:rPr>
        <w:t>;</w:t>
      </w:r>
      <w:r w:rsidR="00507565" w:rsidRPr="000767AE">
        <w:rPr>
          <w:rFonts w:ascii="Arial" w:hAnsi="Arial"/>
          <w:sz w:val="24"/>
        </w:rPr>
        <w:t xml:space="preserve"> essential for the development of </w:t>
      </w:r>
      <w:r w:rsidR="00462FA2" w:rsidRPr="000767AE">
        <w:rPr>
          <w:rFonts w:ascii="Arial" w:hAnsi="Arial"/>
          <w:sz w:val="24"/>
        </w:rPr>
        <w:t xml:space="preserve">appropriate </w:t>
      </w:r>
      <w:r w:rsidR="00507565" w:rsidRPr="000767AE">
        <w:rPr>
          <w:rFonts w:ascii="Arial" w:hAnsi="Arial"/>
          <w:sz w:val="24"/>
        </w:rPr>
        <w:t>interventional policies</w:t>
      </w:r>
      <w:r w:rsidR="00000B0D" w:rsidRPr="000767AE">
        <w:rPr>
          <w:rFonts w:ascii="Arial" w:hAnsi="Arial"/>
          <w:sz w:val="24"/>
        </w:rPr>
        <w:t>.</w:t>
      </w:r>
      <w:r w:rsidR="0081077D" w:rsidRPr="000767AE">
        <w:rPr>
          <w:rFonts w:ascii="Arial" w:hAnsi="Arial"/>
          <w:sz w:val="24"/>
        </w:rPr>
        <w:fldChar w:fldCharType="begin" w:fldLock="1"/>
      </w:r>
      <w:r w:rsidR="0081077D" w:rsidRPr="000767AE">
        <w:rPr>
          <w:rFonts w:ascii="Arial" w:hAnsi="Arial"/>
          <w:sz w:val="24"/>
        </w:rPr>
        <w:instrText>ADDIN CSL_CITATION { "citationItems" : [ { "id" : "ITEM-1", "itemData" : { "author" : [ { "dropping-particle" : "", "family" : "Mendelson", "given" : "Marc", "non-dropping-particle" : "", "parse-names" : false, "suffix" : "" }, { "dropping-particle" : "", "family" : "Balasegaram", "given" : "Manica", "non-dropping-particle" : "", "parse-names" : false, "suffix" : "" }, { "dropping-particle" : "", "family" : "Gopinathan", "given" : "Unni", "non-dropping-particle" : "", "parse-names" : false, "suffix" : "" }, { "dropping-particle" : "", "family" : "Hamer", "given" : "Davidson H", "non-dropping-particle" : "", "parse-names" : false, "suffix" : "" }, { "dropping-particle" : "", "family" : "Wertheim", "given" : "Heiman", "non-dropping-particle" : "", "parse-names" : false, "suffix" : "" }, { "dropping-particle" : "", "family" : "Basnyat", "given" : "Buddha", "non-dropping-particle" : "", "parse-names" : false, "suffix" : "" }, { "dropping-particle" : "", "family" : "Butler", "given" : "Christopher", "non-dropping-particle" : "", "parse-names" : false, "suffix" : "" }, { "dropping-particle" : "", "family" : "Tomson", "given" : "Goran", "non-dropping-particle" : "", "parse-names" : false, "suffix" : "" } ], "container-title" : "The Lancet", "id" : "ITEM-1", "issued" : { "date-parts" : [ [ "2015" ] ] }, "page" : "[under review]", "title" : "Maximising access whilst curbing excess: achieving appropriate human antimicrobial use in low and middle income countries", "type" : "article-journal" }, "uris" : [ "http://www.mendeley.com/documents/?uuid=0d943487-97f5-4f75-939a-2018fe556c0b" ] }, { "id" : "ITEM-2", "itemData" : { "author" : [ { "dropping-particle" : "", "family" : "Dar", "given" : "Osman", "non-dropping-particle" : "", "parse-names" : false, "suffix" : "" }, { "dropping-particle" : "", "family" : "Hasan", "given" : "Rumina", "non-dropping-particle" : "", "parse-names" : false, "suffix" : "" }, { "dropping-particle" : "", "family" : "Schlndt", "given" : "JOrgen", "non-dropping-particle" : "", "parse-names" : false, "suffix" : "" }, { "dropping-particle" : "", "family" : "Harbarth", "given" : "Stephan", "non-dropping-particle" : "", "parse-names" : false, "suffix" : "" }, { "dropping-particle" : "", "family" : "Caleo", "given" : "Grazia", "non-dropping-particle" : "", "parse-names" : false, "suffix" : "" }, { "dropping-particle" : "", "family" : "Dar", "given" : "Fazal", "non-dropping-particle" : "", "parse-names" : false, "suffix" : "" }, { "dropping-particle" : "", "family" : "Littman", "given" : "Jasper", "non-dropping-particle" : "", "parse-names" : false, "suffix" : "" }, { "dropping-particle" : "", "family" : "Rweyemamu", "given" : "Mark", "non-dropping-particle" : "", "parse-names" : false, "suffix" : "" }, { "dropping-particle" : "", "family" : "Bucley", "given" : "Emily", "non-dropping-particle" : "", "parse-names" : false, "suffix" : "" }, { "dropping-particle" : "", "family" : "Shahid", "given" : "MOhammed", "non-dropping-particle" : "", "parse-names" : false, "suffix" : "" }, { "dropping-particle" : "", "family" : "Kock", "given" : "Richard", "non-dropping-particle" : "", "parse-names" : false, "suffix" : "" }, { "dropping-particle" : "", "family" : "Lishi Li", "given" : "Henry", "non-dropping-particle" : "", "parse-names" : false, "suffix" : "" }, { "dropping-particle" : "", "family" : "Giha", "given" : "Heydar", "non-dropping-particle" : "", "parse-names" : false, "suffix" : "" }, { "dropping-particle" : "", "family" : "Khan", "given" : "Mishal", "non-dropping-particle" : "", "parse-names" : false, "suffix" : "" }, { "dropping-particle" : "", "family" : "So", "given" : "Anthony", "non-dropping-particle" : "", "parse-names" : false, "suffix" : "" }, { "dropping-particle" : "", "family" : "Bindayna", "given" : "Khalid M", "non-dropping-particle" : "", "parse-names" : false, "suffix" : "" }, { "dropping-particle" : "", "family" : "Kessel", "given" : "Anthony", "non-dropping-particle" : "", "parse-names" : false, "suffix" : "" }, { "dropping-particle" : "", "family" : "Bak Pedersen", "given" : "Hanne", "non-dropping-particle" : "", "parse-names" : false, "suffix" : "" }, { "dropping-particle" : "", "family" : "Permanand", "given" : "Govin", "non-dropping-particle" : "", "parse-names" : false, "suffix" : "" }, { "dropping-particle" : "", "family" : "Zumla", "given" : "Alimuddin", "non-dropping-particle" : "", "parse-names" : false, "suffix" : "" }, { "dropping-particle" : "", "family" : "Heymann", "given" : "David L.", "non-dropping-particle" : "", "parse-names" : false, "suffix" : "" } ], "container-title" : "The Lancet", "id" : "ITEM-2", "issued" : { "date-parts" : [ [ "2015" ] ] }, "page" : "[under review]", "title" : "Effective antimicrobials in an era of growing resistance: exploring the evidence base for policy interventions.", "type" : "article-journal" }, "uris" : [ "http://www.mendeley.com/documents/?uuid=9b27ee56-a704-453c-875a-2e403aad1683" ] }, { "id" : "ITEM-3", "itemData" : { "author" : [ { "dropping-particle" : "", "family" : "Ardal", "given" : "Christine", "non-dropping-particle" : "", "parse-names" : false, "suffix" : "" }, { "dropping-particle" : "", "family" : "Outerson", "given" : "Kevin", "non-dropping-particle" : "", "parse-names" : false, "suffix" : "" }, { "dropping-particle" : "", "family" : "Hoffman", "given" : "Steven J", "non-dropping-particle" : "", "parse-names" : false, "suffix" : "" }, { "dropping-particle" : "", "family" : "GHafur", "given" : "Abdul", "non-dropping-particle" : "", "parse-names" : false, "suffix" : "" }, { "dropping-particle" : "", "family" : "Sharland", "given" : "Mike", "non-dropping-particle" : "", "parse-names" : false, "suffix" : "" }, { "dropping-particle" : "", "family" : "Ranganathan", "given" : "NIsha", "non-dropping-particle" : "", "parse-names" : false, "suffix" : "" }, { "dropping-particle" : "", "family" : "Smith", "given" : "RIchard", "non-dropping-particle" : "", "parse-names" : false, "suffix" : "" }, { "dropping-particle" : "", "family" : "Zorzet", "given" : "Anna", "non-dropping-particle" : "", "parse-names" : false, "suffix" : "" }, { "dropping-particle" : "", "family" : "Sande", "given" : "Nienke", "non-dropping-particle" : "van de", "parse-names" : false, "suffix" : "" }, { "dropping-particle" : "", "family" : "Cohn", "given" : "Jennifer", "non-dropping-particle" : "", "parse-names" : false, "suffix" : "" }, { "dropping-particle" : "", "family" : "Pittet", "given" : "Didier", "non-dropping-particle" : "", "parse-names" : false, "suffix" : "" }, { "dropping-particle" : "", "family" : "Daulaire", "given" : "Nils", "non-dropping-particle" : "", "parse-names" : false, "suffix" : "" }, { "dropping-particle" : "", "family" : "Morel", "given" : "Chantal", "non-dropping-particle" : "", "parse-names" : false, "suffix" : "" }, { "dropping-particle" : "", "family" : "Rizvi", "given" : "Zain", "non-dropping-particle" : "", "parse-names" : false, "suffix" : "" }, { "dropping-particle" : "", "family" : "Rottengen", "given" : "John-Arne", "non-dropping-particle" : "", "parse-names" : false, "suffix" : "" } ], "container-title" : "The Lancet", "id" : "ITEM-3", "issued" : { "date-parts" : [ [ "2015" ] ] }, "page" : "[under review]", "title" : "Effective international collaboration to improve access to and sustain effectiveness of antimicrobials.", "type" : "article-journal" }, "uris" : [ "http://www.mendeley.com/documents/?uuid=d4c56356-2675-4255-8a6f-a9c2e63909f8" ] } ], "mendeley" : { "formattedCitation" : "&lt;sup&gt;2\u20134&lt;/sup&gt;", "plainTextFormattedCitation" : "2\u20134", "previouslyFormattedCitation" : "&lt;sup&gt;2\u20134&lt;/sup&gt;" }, "properties" : { "noteIndex" : 0 }, "schema" : "https://github.com/citation-style-language/schema/raw/master/csl-citation.json" }</w:instrText>
      </w:r>
      <w:r w:rsidR="0081077D" w:rsidRPr="000767AE">
        <w:rPr>
          <w:rFonts w:ascii="Arial" w:hAnsi="Arial"/>
          <w:sz w:val="24"/>
        </w:rPr>
        <w:fldChar w:fldCharType="separate"/>
      </w:r>
      <w:r w:rsidR="0081077D" w:rsidRPr="000767AE">
        <w:rPr>
          <w:rFonts w:ascii="Arial" w:hAnsi="Arial"/>
          <w:noProof/>
          <w:sz w:val="24"/>
          <w:vertAlign w:val="superscript"/>
        </w:rPr>
        <w:t>2–4</w:t>
      </w:r>
      <w:r w:rsidR="0081077D" w:rsidRPr="000767AE">
        <w:rPr>
          <w:rFonts w:ascii="Arial" w:hAnsi="Arial"/>
          <w:sz w:val="24"/>
        </w:rPr>
        <w:fldChar w:fldCharType="end"/>
      </w:r>
      <w:r w:rsidR="00000B0D" w:rsidRPr="000767AE">
        <w:rPr>
          <w:rFonts w:ascii="Arial" w:hAnsi="Arial"/>
          <w:sz w:val="24"/>
        </w:rPr>
        <w:t xml:space="preserve"> </w:t>
      </w:r>
      <w:proofErr w:type="gramStart"/>
      <w:r w:rsidR="009F7F45" w:rsidRPr="000767AE">
        <w:rPr>
          <w:rFonts w:ascii="Arial" w:hAnsi="Arial"/>
          <w:sz w:val="24"/>
        </w:rPr>
        <w:t>The</w:t>
      </w:r>
      <w:proofErr w:type="gramEnd"/>
      <w:r w:rsidR="009F7F45" w:rsidRPr="000767AE">
        <w:rPr>
          <w:rFonts w:ascii="Arial" w:hAnsi="Arial"/>
          <w:sz w:val="24"/>
        </w:rPr>
        <w:t xml:space="preserve"> numerous f</w:t>
      </w:r>
      <w:r w:rsidR="00A053CE" w:rsidRPr="000767AE">
        <w:rPr>
          <w:rFonts w:ascii="Arial" w:hAnsi="Arial"/>
          <w:sz w:val="24"/>
        </w:rPr>
        <w:t>actors contribut</w:t>
      </w:r>
      <w:r w:rsidR="009F5958" w:rsidRPr="000767AE">
        <w:rPr>
          <w:rFonts w:ascii="Arial" w:hAnsi="Arial"/>
          <w:sz w:val="24"/>
        </w:rPr>
        <w:t>ing</w:t>
      </w:r>
      <w:r w:rsidR="00A053CE" w:rsidRPr="000767AE">
        <w:rPr>
          <w:rFonts w:ascii="Arial" w:hAnsi="Arial"/>
          <w:sz w:val="24"/>
        </w:rPr>
        <w:t xml:space="preserve"> to the current </w:t>
      </w:r>
      <w:r w:rsidR="00507565" w:rsidRPr="000767AE">
        <w:rPr>
          <w:rFonts w:ascii="Arial" w:hAnsi="Arial"/>
          <w:sz w:val="24"/>
        </w:rPr>
        <w:t xml:space="preserve">global status of </w:t>
      </w:r>
      <w:r w:rsidR="00A053CE" w:rsidRPr="000767AE">
        <w:rPr>
          <w:rFonts w:ascii="Arial" w:hAnsi="Arial"/>
          <w:sz w:val="24"/>
        </w:rPr>
        <w:t xml:space="preserve">AMR </w:t>
      </w:r>
      <w:r w:rsidR="00D87536" w:rsidRPr="000767AE">
        <w:rPr>
          <w:rFonts w:ascii="Arial" w:hAnsi="Arial"/>
          <w:sz w:val="24"/>
        </w:rPr>
        <w:t xml:space="preserve">are </w:t>
      </w:r>
      <w:r w:rsidR="003E5C71" w:rsidRPr="000767AE">
        <w:rPr>
          <w:rFonts w:ascii="Arial" w:hAnsi="Arial"/>
          <w:sz w:val="24"/>
        </w:rPr>
        <w:t>reviewed</w:t>
      </w:r>
      <w:r w:rsidR="001B7CAB" w:rsidRPr="000767AE">
        <w:rPr>
          <w:rFonts w:ascii="Arial" w:hAnsi="Arial"/>
          <w:sz w:val="24"/>
        </w:rPr>
        <w:t xml:space="preserve"> in this article</w:t>
      </w:r>
      <w:r w:rsidR="003E5C71" w:rsidRPr="000767AE">
        <w:rPr>
          <w:rFonts w:ascii="Arial" w:hAnsi="Arial"/>
          <w:sz w:val="24"/>
        </w:rPr>
        <w:t>,</w:t>
      </w:r>
      <w:r w:rsidR="00D87536" w:rsidRPr="000767AE">
        <w:rPr>
          <w:rFonts w:ascii="Arial" w:hAnsi="Arial"/>
          <w:sz w:val="24"/>
        </w:rPr>
        <w:t xml:space="preserve"> with a </w:t>
      </w:r>
      <w:r w:rsidR="001B7CAB" w:rsidRPr="000767AE">
        <w:rPr>
          <w:rFonts w:ascii="Arial" w:hAnsi="Arial"/>
          <w:sz w:val="24"/>
        </w:rPr>
        <w:t xml:space="preserve">particular </w:t>
      </w:r>
      <w:r w:rsidR="00D87536" w:rsidRPr="000767AE">
        <w:rPr>
          <w:rFonts w:ascii="Arial" w:hAnsi="Arial"/>
          <w:sz w:val="24"/>
        </w:rPr>
        <w:t>focus on</w:t>
      </w:r>
      <w:r w:rsidR="00462FA2" w:rsidRPr="000767AE">
        <w:rPr>
          <w:rFonts w:ascii="Arial" w:hAnsi="Arial"/>
          <w:sz w:val="24"/>
        </w:rPr>
        <w:t xml:space="preserve"> emergence</w:t>
      </w:r>
      <w:r w:rsidR="00507565" w:rsidRPr="000767AE">
        <w:rPr>
          <w:rFonts w:ascii="Arial" w:hAnsi="Arial"/>
          <w:sz w:val="24"/>
        </w:rPr>
        <w:t xml:space="preserve"> of resistance</w:t>
      </w:r>
      <w:r w:rsidR="00462FA2" w:rsidRPr="000767AE">
        <w:rPr>
          <w:rFonts w:ascii="Arial" w:hAnsi="Arial"/>
          <w:sz w:val="24"/>
        </w:rPr>
        <w:t xml:space="preserve">, transmission, </w:t>
      </w:r>
      <w:r w:rsidR="00D87536" w:rsidRPr="000767AE">
        <w:rPr>
          <w:rFonts w:ascii="Arial" w:hAnsi="Arial"/>
          <w:sz w:val="24"/>
        </w:rPr>
        <w:t xml:space="preserve">bacterial </w:t>
      </w:r>
      <w:r w:rsidR="00462FA2" w:rsidRPr="000767AE">
        <w:rPr>
          <w:rFonts w:ascii="Arial" w:hAnsi="Arial"/>
          <w:sz w:val="24"/>
        </w:rPr>
        <w:t xml:space="preserve">fitness and </w:t>
      </w:r>
      <w:r w:rsidR="00466FBC" w:rsidRPr="000767AE">
        <w:rPr>
          <w:rFonts w:ascii="Arial" w:hAnsi="Arial"/>
          <w:sz w:val="24"/>
        </w:rPr>
        <w:t xml:space="preserve">potential for </w:t>
      </w:r>
      <w:r w:rsidR="00462FA2" w:rsidRPr="000767AE">
        <w:rPr>
          <w:rFonts w:ascii="Arial" w:hAnsi="Arial"/>
          <w:sz w:val="24"/>
        </w:rPr>
        <w:t>reversibility</w:t>
      </w:r>
      <w:r w:rsidR="00B633D3" w:rsidRPr="000767AE">
        <w:rPr>
          <w:rFonts w:ascii="Arial" w:hAnsi="Arial"/>
          <w:sz w:val="24"/>
        </w:rPr>
        <w:t>.</w:t>
      </w:r>
      <w:r w:rsidR="00504EEC" w:rsidRPr="000767AE">
        <w:rPr>
          <w:rFonts w:ascii="Arial" w:hAnsi="Arial"/>
          <w:sz w:val="24"/>
        </w:rPr>
        <w:t xml:space="preserve"> </w:t>
      </w:r>
      <w:r w:rsidR="00B633D3" w:rsidRPr="000767AE">
        <w:rPr>
          <w:rFonts w:ascii="Arial" w:hAnsi="Arial"/>
          <w:sz w:val="24"/>
        </w:rPr>
        <w:t>The evidence</w:t>
      </w:r>
      <w:r w:rsidR="009F7F45" w:rsidRPr="000767AE">
        <w:rPr>
          <w:rFonts w:ascii="Arial" w:hAnsi="Arial"/>
          <w:sz w:val="24"/>
        </w:rPr>
        <w:t xml:space="preserve"> for, </w:t>
      </w:r>
      <w:r w:rsidR="007C51C8" w:rsidRPr="000767AE">
        <w:rPr>
          <w:rFonts w:ascii="Arial" w:hAnsi="Arial"/>
          <w:sz w:val="24"/>
        </w:rPr>
        <w:t>and the role of</w:t>
      </w:r>
      <w:r w:rsidR="009F7F45" w:rsidRPr="000767AE">
        <w:rPr>
          <w:rFonts w:ascii="Arial" w:hAnsi="Arial"/>
          <w:sz w:val="24"/>
        </w:rPr>
        <w:t>,</w:t>
      </w:r>
      <w:r w:rsidR="007C51C8" w:rsidRPr="000767AE">
        <w:rPr>
          <w:rFonts w:ascii="Arial" w:hAnsi="Arial"/>
          <w:sz w:val="24"/>
        </w:rPr>
        <w:t xml:space="preserve"> important </w:t>
      </w:r>
      <w:r w:rsidR="00507565" w:rsidRPr="000767AE">
        <w:rPr>
          <w:rFonts w:ascii="Arial" w:hAnsi="Arial"/>
          <w:sz w:val="24"/>
        </w:rPr>
        <w:t xml:space="preserve">drivers </w:t>
      </w:r>
      <w:r w:rsidR="007C51C8" w:rsidRPr="000767AE">
        <w:rPr>
          <w:rFonts w:ascii="Arial" w:hAnsi="Arial"/>
          <w:sz w:val="24"/>
        </w:rPr>
        <w:t xml:space="preserve">of AMR </w:t>
      </w:r>
      <w:r w:rsidR="00507565" w:rsidRPr="000767AE">
        <w:rPr>
          <w:rFonts w:ascii="Arial" w:hAnsi="Arial"/>
          <w:sz w:val="24"/>
        </w:rPr>
        <w:t xml:space="preserve">are considered and </w:t>
      </w:r>
      <w:r w:rsidR="00B633D3" w:rsidRPr="000767AE">
        <w:rPr>
          <w:rFonts w:ascii="Arial" w:hAnsi="Arial"/>
          <w:sz w:val="24"/>
        </w:rPr>
        <w:t>assessed</w:t>
      </w:r>
      <w:r w:rsidR="00E8690E" w:rsidRPr="000767AE">
        <w:rPr>
          <w:rFonts w:ascii="Arial" w:hAnsi="Arial"/>
          <w:sz w:val="24"/>
        </w:rPr>
        <w:t xml:space="preserve"> </w:t>
      </w:r>
      <w:r w:rsidR="009E369F" w:rsidRPr="000767AE">
        <w:rPr>
          <w:rFonts w:ascii="Arial" w:hAnsi="Arial"/>
          <w:sz w:val="24"/>
        </w:rPr>
        <w:t>in the context of the</w:t>
      </w:r>
      <w:r w:rsidR="00E8690E" w:rsidRPr="000767AE">
        <w:rPr>
          <w:rFonts w:ascii="Arial" w:hAnsi="Arial"/>
          <w:sz w:val="24"/>
        </w:rPr>
        <w:t xml:space="preserve"> community (including the environment and agriculture) and</w:t>
      </w:r>
      <w:r w:rsidR="00B50E63" w:rsidRPr="000767AE">
        <w:rPr>
          <w:rFonts w:ascii="Arial" w:hAnsi="Arial"/>
          <w:sz w:val="24"/>
        </w:rPr>
        <w:t xml:space="preserve"> in</w:t>
      </w:r>
      <w:r w:rsidR="00E8690E" w:rsidRPr="000767AE">
        <w:rPr>
          <w:rFonts w:ascii="Arial" w:hAnsi="Arial"/>
          <w:sz w:val="24"/>
        </w:rPr>
        <w:t xml:space="preserve"> healthcare</w:t>
      </w:r>
      <w:r w:rsidR="00C575F3" w:rsidRPr="000767AE">
        <w:rPr>
          <w:rFonts w:ascii="Arial" w:hAnsi="Arial"/>
          <w:sz w:val="24"/>
        </w:rPr>
        <w:t xml:space="preserve"> systems</w:t>
      </w:r>
      <w:r w:rsidR="009F7F45" w:rsidRPr="000767AE">
        <w:rPr>
          <w:rFonts w:ascii="Arial" w:hAnsi="Arial"/>
          <w:sz w:val="24"/>
        </w:rPr>
        <w:t xml:space="preserve"> </w:t>
      </w:r>
      <w:r w:rsidR="003B67DB" w:rsidRPr="003B67DB">
        <w:rPr>
          <w:rFonts w:ascii="Arial" w:hAnsi="Arial"/>
          <w:sz w:val="24"/>
          <w:highlight w:val="yellow"/>
        </w:rPr>
        <w:t>(</w:t>
      </w:r>
      <w:r w:rsidR="003B67DB">
        <w:rPr>
          <w:rFonts w:ascii="Arial" w:hAnsi="Arial"/>
          <w:sz w:val="24"/>
          <w:highlight w:val="yellow"/>
        </w:rPr>
        <w:t>for an extended</w:t>
      </w:r>
      <w:r w:rsidR="003B67DB" w:rsidRPr="003B67DB">
        <w:rPr>
          <w:rFonts w:ascii="Arial" w:hAnsi="Arial"/>
          <w:sz w:val="24"/>
          <w:highlight w:val="yellow"/>
        </w:rPr>
        <w:t xml:space="preserve"> list of references see web appendix </w:t>
      </w:r>
      <w:r w:rsidR="003B67DB">
        <w:rPr>
          <w:rFonts w:ascii="Arial" w:hAnsi="Arial"/>
          <w:sz w:val="24"/>
          <w:highlight w:val="yellow"/>
        </w:rPr>
        <w:t>www.XXXXX</w:t>
      </w:r>
      <w:r w:rsidR="003B67DB" w:rsidRPr="003B67DB">
        <w:rPr>
          <w:rFonts w:ascii="Arial" w:hAnsi="Arial"/>
          <w:sz w:val="24"/>
          <w:highlight w:val="yellow"/>
        </w:rPr>
        <w:t>).</w:t>
      </w:r>
      <w:r w:rsidR="003B67DB">
        <w:rPr>
          <w:rFonts w:ascii="Arial" w:hAnsi="Arial"/>
          <w:sz w:val="24"/>
        </w:rPr>
        <w:t xml:space="preserve"> </w:t>
      </w:r>
      <w:r w:rsidR="009F7F45" w:rsidRPr="000767AE">
        <w:rPr>
          <w:rFonts w:ascii="Arial" w:hAnsi="Arial"/>
          <w:sz w:val="24"/>
        </w:rPr>
        <w:t>From this,</w:t>
      </w:r>
      <w:r w:rsidR="009E369F" w:rsidRPr="000767AE">
        <w:rPr>
          <w:rFonts w:ascii="Arial" w:hAnsi="Arial"/>
          <w:sz w:val="24"/>
        </w:rPr>
        <w:t xml:space="preserve"> stakeholder</w:t>
      </w:r>
      <w:r w:rsidR="009F7F45" w:rsidRPr="000767AE">
        <w:rPr>
          <w:rFonts w:ascii="Arial" w:hAnsi="Arial"/>
          <w:sz w:val="24"/>
        </w:rPr>
        <w:t xml:space="preserve">s can </w:t>
      </w:r>
      <w:r w:rsidR="009E369F" w:rsidRPr="000767AE">
        <w:rPr>
          <w:rFonts w:ascii="Arial" w:hAnsi="Arial"/>
          <w:sz w:val="24"/>
        </w:rPr>
        <w:t>engage with issues specific to the</w:t>
      </w:r>
      <w:r w:rsidR="009F7F45" w:rsidRPr="000767AE">
        <w:rPr>
          <w:rFonts w:ascii="Arial" w:hAnsi="Arial"/>
          <w:sz w:val="24"/>
        </w:rPr>
        <w:t>ir area of practice</w:t>
      </w:r>
      <w:r w:rsidR="009E369F" w:rsidRPr="000767AE">
        <w:rPr>
          <w:rFonts w:ascii="Arial" w:hAnsi="Arial"/>
          <w:sz w:val="24"/>
        </w:rPr>
        <w:t xml:space="preserve">, </w:t>
      </w:r>
      <w:r w:rsidR="009F7F45" w:rsidRPr="000767AE">
        <w:rPr>
          <w:rFonts w:ascii="Arial" w:hAnsi="Arial"/>
          <w:sz w:val="24"/>
        </w:rPr>
        <w:t xml:space="preserve">yet also be mindful of </w:t>
      </w:r>
      <w:r w:rsidR="0088122F" w:rsidRPr="000767AE">
        <w:rPr>
          <w:rFonts w:ascii="Arial" w:hAnsi="Arial"/>
          <w:sz w:val="24"/>
        </w:rPr>
        <w:t xml:space="preserve">cross-sectorial </w:t>
      </w:r>
      <w:r w:rsidR="009E369F" w:rsidRPr="000767AE">
        <w:rPr>
          <w:rFonts w:ascii="Arial" w:hAnsi="Arial"/>
          <w:sz w:val="24"/>
        </w:rPr>
        <w:t>interconnect</w:t>
      </w:r>
      <w:r w:rsidR="00A207F8" w:rsidRPr="000767AE">
        <w:rPr>
          <w:rFonts w:ascii="Arial" w:hAnsi="Arial"/>
          <w:sz w:val="24"/>
        </w:rPr>
        <w:t>ivity</w:t>
      </w:r>
      <w:r w:rsidR="009E369F" w:rsidRPr="000767AE">
        <w:rPr>
          <w:rFonts w:ascii="Arial" w:hAnsi="Arial"/>
          <w:sz w:val="24"/>
        </w:rPr>
        <w:t xml:space="preserve"> </w:t>
      </w:r>
      <w:r w:rsidR="00466FBC" w:rsidRPr="000767AE">
        <w:rPr>
          <w:rFonts w:ascii="Arial" w:hAnsi="Arial"/>
          <w:sz w:val="24"/>
        </w:rPr>
        <w:t xml:space="preserve">and the need for a “One Health” approach to </w:t>
      </w:r>
      <w:r w:rsidR="0088122F" w:rsidRPr="000767AE">
        <w:rPr>
          <w:rFonts w:ascii="Arial" w:hAnsi="Arial"/>
          <w:sz w:val="24"/>
        </w:rPr>
        <w:t>AMR</w:t>
      </w:r>
      <w:r w:rsidR="003B67DB">
        <w:rPr>
          <w:rFonts w:ascii="Arial" w:hAnsi="Arial"/>
          <w:sz w:val="24"/>
        </w:rPr>
        <w:t>.</w:t>
      </w:r>
    </w:p>
    <w:p w14:paraId="226E2C88" w14:textId="77777777" w:rsidR="003B67DB" w:rsidRPr="000767AE" w:rsidRDefault="003B67DB" w:rsidP="00A053CE">
      <w:pPr>
        <w:rPr>
          <w:rFonts w:ascii="Arial" w:hAnsi="Arial" w:cs="Arial"/>
          <w:sz w:val="24"/>
          <w:szCs w:val="24"/>
        </w:rPr>
      </w:pPr>
    </w:p>
    <w:p w14:paraId="796ACC0B" w14:textId="77777777" w:rsidR="00B50E63" w:rsidRPr="000767AE" w:rsidRDefault="00B50E63" w:rsidP="00A053CE">
      <w:pPr>
        <w:rPr>
          <w:rFonts w:ascii="Arial" w:hAnsi="Arial" w:cs="Arial"/>
          <w:sz w:val="24"/>
          <w:szCs w:val="24"/>
        </w:rPr>
      </w:pPr>
    </w:p>
    <w:p w14:paraId="497013F7" w14:textId="77777777" w:rsidR="00A053CE" w:rsidRPr="000767AE" w:rsidRDefault="00A053CE" w:rsidP="00A053CE">
      <w:pPr>
        <w:pStyle w:val="Heading2"/>
        <w:spacing w:before="0"/>
        <w:rPr>
          <w:rFonts w:ascii="Arial" w:hAnsi="Arial"/>
          <w:b/>
          <w:sz w:val="24"/>
        </w:rPr>
      </w:pPr>
      <w:bookmarkStart w:id="1" w:name="_Toc381719158"/>
      <w:r w:rsidRPr="000767AE">
        <w:rPr>
          <w:rFonts w:ascii="Arial" w:hAnsi="Arial"/>
          <w:b/>
          <w:sz w:val="24"/>
        </w:rPr>
        <w:t xml:space="preserve">Emergence of </w:t>
      </w:r>
      <w:r w:rsidR="007F2E48" w:rsidRPr="000767AE">
        <w:rPr>
          <w:rFonts w:ascii="Arial" w:hAnsi="Arial"/>
          <w:b/>
          <w:sz w:val="24"/>
        </w:rPr>
        <w:t>r</w:t>
      </w:r>
      <w:r w:rsidRPr="000767AE">
        <w:rPr>
          <w:rFonts w:ascii="Arial" w:hAnsi="Arial"/>
          <w:b/>
          <w:sz w:val="24"/>
        </w:rPr>
        <w:t>esistance</w:t>
      </w:r>
      <w:bookmarkEnd w:id="1"/>
    </w:p>
    <w:p w14:paraId="6BBAC085" w14:textId="77777777" w:rsidR="00A053CE" w:rsidRPr="000767AE" w:rsidRDefault="00A053CE" w:rsidP="00A053CE"/>
    <w:p w14:paraId="7678ADB1" w14:textId="77777777" w:rsidR="00A053CE" w:rsidRPr="000767AE" w:rsidRDefault="00A053CE" w:rsidP="00A053CE">
      <w:pPr>
        <w:pStyle w:val="Heading3"/>
        <w:spacing w:before="0"/>
        <w:rPr>
          <w:rFonts w:ascii="Arial" w:hAnsi="Arial"/>
          <w:i/>
          <w:color w:val="243F60"/>
        </w:rPr>
      </w:pPr>
      <w:bookmarkStart w:id="2" w:name="_Toc381719159"/>
      <w:r w:rsidRPr="000767AE">
        <w:rPr>
          <w:rFonts w:ascii="Arial" w:hAnsi="Arial"/>
          <w:i/>
          <w:color w:val="243F60"/>
        </w:rPr>
        <w:t>1) Why does resistance emerge within a micro-organism?</w:t>
      </w:r>
      <w:bookmarkEnd w:id="2"/>
      <w:r w:rsidRPr="000767AE">
        <w:rPr>
          <w:rFonts w:ascii="Arial" w:hAnsi="Arial"/>
          <w:i/>
          <w:color w:val="243F60"/>
        </w:rPr>
        <w:t xml:space="preserve"> </w:t>
      </w:r>
    </w:p>
    <w:p w14:paraId="0EAC576A" w14:textId="56CC43A8" w:rsidR="00A053CE" w:rsidRPr="000767AE" w:rsidRDefault="00A053CE" w:rsidP="00A053CE">
      <w:pPr>
        <w:rPr>
          <w:rFonts w:ascii="Arial" w:hAnsi="Arial" w:cs="Arial"/>
          <w:sz w:val="24"/>
          <w:szCs w:val="24"/>
        </w:rPr>
      </w:pPr>
      <w:r w:rsidRPr="000767AE">
        <w:rPr>
          <w:rFonts w:ascii="Arial" w:hAnsi="Arial"/>
          <w:sz w:val="24"/>
        </w:rPr>
        <w:t>Through a Darwinian selection process micro-organisms have developed robust mechanisms to evade destruction from many toxic substances. Most antimicrobial agents are naturally produced by micro-organisms, including environmental fungi and saprophytic bacteria, or are synthetic modifications of them, with only a few agents (e.g. sulphonamides and fluoroquinolones) being wholly synthetic. The protective mechanisms that have evolved include preventing entry or exporting the agent, producing enzymes that destroy or modify the antimicrobial, or making changes to the antimicrobial target.</w:t>
      </w:r>
      <w:r w:rsidRPr="000767AE">
        <w:rPr>
          <w:rFonts w:ascii="Arial" w:hAnsi="Arial"/>
          <w:i/>
          <w:sz w:val="24"/>
        </w:rPr>
        <w:t xml:space="preserve"> </w:t>
      </w:r>
      <w:r w:rsidRPr="000767AE">
        <w:rPr>
          <w:rFonts w:ascii="Arial" w:hAnsi="Arial"/>
          <w:sz w:val="24"/>
        </w:rPr>
        <w:t>Therefore</w:t>
      </w:r>
      <w:r w:rsidR="00367C57" w:rsidRPr="000767AE">
        <w:rPr>
          <w:rFonts w:ascii="Arial" w:hAnsi="Arial"/>
          <w:sz w:val="24"/>
        </w:rPr>
        <w:t>,</w:t>
      </w:r>
      <w:r w:rsidRPr="000767AE">
        <w:rPr>
          <w:rFonts w:ascii="Arial" w:hAnsi="Arial"/>
          <w:sz w:val="24"/>
        </w:rPr>
        <w:t xml:space="preserve"> </w:t>
      </w:r>
      <w:r w:rsidR="00C575F3" w:rsidRPr="000767AE">
        <w:rPr>
          <w:rFonts w:ascii="Arial" w:hAnsi="Arial"/>
          <w:sz w:val="24"/>
        </w:rPr>
        <w:t>AMR</w:t>
      </w:r>
      <w:r w:rsidRPr="000767AE">
        <w:rPr>
          <w:rFonts w:ascii="Arial" w:hAnsi="Arial"/>
          <w:sz w:val="24"/>
        </w:rPr>
        <w:t xml:space="preserve"> </w:t>
      </w:r>
      <w:r w:rsidR="008D3AEF" w:rsidRPr="000767AE">
        <w:rPr>
          <w:rFonts w:ascii="Arial" w:hAnsi="Arial"/>
          <w:sz w:val="24"/>
        </w:rPr>
        <w:t xml:space="preserve">could </w:t>
      </w:r>
      <w:r w:rsidRPr="000767AE">
        <w:rPr>
          <w:rFonts w:ascii="Arial" w:hAnsi="Arial"/>
          <w:sz w:val="24"/>
        </w:rPr>
        <w:t xml:space="preserve">be considered to simply represent the Darwinian competition </w:t>
      </w:r>
      <w:r w:rsidR="008D3AEF" w:rsidRPr="000767AE">
        <w:rPr>
          <w:rFonts w:ascii="Arial" w:hAnsi="Arial"/>
          <w:sz w:val="24"/>
        </w:rPr>
        <w:t xml:space="preserve">from </w:t>
      </w:r>
      <w:r w:rsidRPr="000767AE">
        <w:rPr>
          <w:rFonts w:ascii="Arial" w:hAnsi="Arial"/>
          <w:sz w:val="24"/>
        </w:rPr>
        <w:t xml:space="preserve">natural micro-organism derived antimicrobial molecules. </w:t>
      </w:r>
      <w:r w:rsidR="00A627C8" w:rsidRPr="000767AE">
        <w:rPr>
          <w:rFonts w:ascii="Arial" w:hAnsi="Arial"/>
          <w:sz w:val="24"/>
        </w:rPr>
        <w:t>Recent functional meta-genomic studies of soil microorganisms have shown an extensive diversity of genetic determinants conferring antibiotic resistance, of which only a fraction have been described in human pathogens.</w:t>
      </w:r>
      <w:r w:rsidR="00A627C8" w:rsidRPr="000767AE">
        <w:rPr>
          <w:rFonts w:ascii="Arial" w:hAnsi="Arial"/>
          <w:sz w:val="24"/>
        </w:rPr>
        <w:fldChar w:fldCharType="begin" w:fldLock="1"/>
      </w:r>
      <w:r w:rsidR="0081077D" w:rsidRPr="000767AE">
        <w:rPr>
          <w:rFonts w:ascii="Arial" w:hAnsi="Arial"/>
          <w:sz w:val="24"/>
        </w:rPr>
        <w:instrText>ADDIN CSL_CITATION { "citationItems" : [ { "id" : "ITEM-1", "itemData" : { "DOI" : "10.1038/nature13377", "ISSN" : "1476-4687", "PMID" : "24847883", "abstract" : "Ancient and diverse antibiotic resistance genes (ARGs) have previously been identified from soil, including genes identical to those in human pathogens. Despite the apparent overlap between soil and clinical resistomes, factors influencing ARG composition in soil and their movement between genomes and habitats remain largely unknown. General metagenome functions often correlate with the underlying structure of bacterial communities. However, ARGs are proposed to be highly mobile, prompting speculation that resistomes may not correlate with phylogenetic signatures or ecological divisions. To investigate these relationships, we performed functional metagenomic selections for resistance to 18 antibiotics from 18 agricultural and grassland soils. The 2,895 ARGs we discovered were mostly new, and represent all major resistance mechanisms. We demonstrate that distinct soil types harbour distinct resistomes, and that the addition of nitrogen fertilizer strongly influenced soil ARG content. Resistome composition also correlated with microbial phylogenetic and taxonomic structure, both across and within soil types. Consistent with this strong correlation, mobility elements (genes responsible for horizontal gene transfer between bacteria such as transposases and integrases) syntenic with ARGs were rare in soil by comparison with sequenced pathogens, suggesting that ARGs may not transfer between soil bacteria as readily as is observed between human pathogens. Together, our results indicate that bacterial community composition is the primary determinant of soil ARG content, challenging previous hypotheses that horizontal gene transfer effectively decouples resistomes from phylogeny.", "author" : [ { "dropping-particle" : "", "family" : "Forsberg", "given" : "Kevin J", "non-dropping-particle" : "", "parse-names" : false, "suffix" : "" }, { "dropping-particle" : "", "family" : "Patel", "given" : "Sanket", "non-dropping-particle" : "", "parse-names" : false, "suffix" : "" }, { "dropping-particle" : "", "family" : "Gibson", "given" : "Molly K", "non-dropping-particle" : "", "parse-names" : false, "suffix" : "" }, { "dropping-particle" : "", "family" : "Lauber", "given" : "Christian L", "non-dropping-particle" : "", "parse-names" : false, "suffix" : "" }, { "dropping-particle" : "", "family" : "Knight", "given" : "Rob", "non-dropping-particle" : "", "parse-names" : false, "suffix" : "" }, { "dropping-particle" : "", "family" : "Fierer", "given" : "Noah", "non-dropping-particle" : "", "parse-names" : false, "suffix" : "" }, { "dropping-particle" : "", "family" : "Dantas", "given" : "Gautam", "non-dropping-particle" : "", "parse-names" : false, "suffix" : "" } ], "container-title" : "Nature", "id" : "ITEM-1", "issue" : "7502", "issued" : { "date-parts" : [ [ "2014", "5", "29" ] ] }, "page" : "612-6", "publisher" : "Nature Publishing Group", "title" : "Bacterial phylogeny structures soil resistomes across habitats.", "type" : "article-journal", "volume" : "509" }, "uris" : [ "http://www.mendeley.com/documents/?uuid=c1223db6-de5d-4f09-9fb0-d2383c545d12" ] } ], "mendeley" : { "formattedCitation" : "&lt;sup&gt;5&lt;/sup&gt;", "plainTextFormattedCitation" : "5", "previouslyFormattedCitation" : "&lt;sup&gt;5&lt;/sup&gt;" }, "properties" : { "noteIndex" : 0 }, "schema" : "https://github.com/citation-style-language/schema/raw/master/csl-citation.json" }</w:instrText>
      </w:r>
      <w:r w:rsidR="00A627C8" w:rsidRPr="000767AE">
        <w:rPr>
          <w:rFonts w:ascii="Arial" w:hAnsi="Arial"/>
          <w:sz w:val="24"/>
        </w:rPr>
        <w:fldChar w:fldCharType="separate"/>
      </w:r>
      <w:r w:rsidR="0081077D" w:rsidRPr="000767AE">
        <w:rPr>
          <w:rFonts w:ascii="Arial" w:hAnsi="Arial"/>
          <w:noProof/>
          <w:sz w:val="24"/>
          <w:vertAlign w:val="superscript"/>
        </w:rPr>
        <w:t>5</w:t>
      </w:r>
      <w:r w:rsidR="00A627C8" w:rsidRPr="000767AE">
        <w:rPr>
          <w:rFonts w:ascii="Arial" w:hAnsi="Arial"/>
          <w:sz w:val="24"/>
        </w:rPr>
        <w:fldChar w:fldCharType="end"/>
      </w:r>
      <w:r w:rsidR="00A627C8" w:rsidRPr="000767AE">
        <w:rPr>
          <w:rFonts w:ascii="Arial" w:hAnsi="Arial"/>
          <w:sz w:val="24"/>
        </w:rPr>
        <w:t xml:space="preserve"> One example where a naturally occurring resistance mechanism has </w:t>
      </w:r>
      <w:r w:rsidR="007C51C8" w:rsidRPr="000767AE">
        <w:rPr>
          <w:rFonts w:ascii="Arial" w:hAnsi="Arial"/>
          <w:sz w:val="24"/>
        </w:rPr>
        <w:t xml:space="preserve">had an </w:t>
      </w:r>
      <w:r w:rsidR="00A627C8" w:rsidRPr="000767AE">
        <w:rPr>
          <w:rFonts w:ascii="Arial" w:hAnsi="Arial"/>
          <w:sz w:val="24"/>
        </w:rPr>
        <w:t>impact</w:t>
      </w:r>
      <w:r w:rsidR="007C51C8" w:rsidRPr="000767AE">
        <w:rPr>
          <w:rFonts w:ascii="Arial" w:hAnsi="Arial"/>
          <w:sz w:val="24"/>
        </w:rPr>
        <w:t xml:space="preserve"> on</w:t>
      </w:r>
      <w:r w:rsidR="00A627C8" w:rsidRPr="000767AE">
        <w:rPr>
          <w:rFonts w:ascii="Arial" w:hAnsi="Arial"/>
          <w:sz w:val="24"/>
        </w:rPr>
        <w:t xml:space="preserve"> human health is</w:t>
      </w:r>
      <w:r w:rsidRPr="000767AE">
        <w:rPr>
          <w:rFonts w:ascii="Arial" w:hAnsi="Arial"/>
          <w:sz w:val="24"/>
        </w:rPr>
        <w:t xml:space="preserve"> the resistance developed against β-lactam antimicrobial drugs, where the enzymes (β-lactamases) that inactivate these antimicrobial molecules, have existed for millions of years.</w:t>
      </w:r>
      <w:r w:rsidR="00CA7FE2" w:rsidRPr="000767AE">
        <w:rPr>
          <w:rFonts w:ascii="Arial" w:hAnsi="Arial"/>
          <w:sz w:val="24"/>
        </w:rPr>
        <w:fldChar w:fldCharType="begin" w:fldLock="1"/>
      </w:r>
      <w:r w:rsidR="0081077D" w:rsidRPr="000767AE">
        <w:rPr>
          <w:rFonts w:ascii="Arial" w:hAnsi="Arial"/>
          <w:sz w:val="24"/>
        </w:rPr>
        <w:instrText>ADDIN CSL_CITATION { "citationItems" : [ { "id" : "ITEM-1", "itemData" : { "DOI" : "10.1111/j.1462-2920.2009.01972.x", "ISSN" : "1462-2920", "PMID" : "19601960", "abstract" : "Antibiotic-resistant pathogens are profoundly important to human health, but the environmental reservoirs of resistance determinants are poorly understood. The origins of antibiotic resistance in the environment is relevant to human health because of the increasing importance of zoonotic diseases as well as the need for predicting emerging resistant pathogens. This Review explores the presence and spread of antibiotic resistance in non-agricultural, non-clinical environments and demonstrates the need for more intensive investigation on this subject.", "author" : [ { "dropping-particle" : "", "family" : "Aminov", "given" : "Rustam I", "non-dropping-particle" : "", "parse-names" : false, "suffix" : "" } ], "container-title" : "Environmental Microbiology", "id" : "ITEM-1", "issue" : "12", "issued" : { "date-parts" : [ [ "2009", "12" ] ] }, "page" : "2970-88", "title" : "The role of antibiotics and antibiotic resistance in nature.", "type" : "article-journal", "volume" : "11" }, "uris" : [ "http://www.mendeley.com/documents/?uuid=da2f6176-369d-413a-a3a7-5309c6e6b622" ] } ], "mendeley" : { "formattedCitation" : "&lt;sup&gt;6&lt;/sup&gt;", "plainTextFormattedCitation" : "6", "previouslyFormattedCitation" : "&lt;sup&gt;6&lt;/sup&gt;" }, "properties" : { "noteIndex" : 0 }, "schema" : "https://github.com/citation-style-language/schema/raw/master/csl-citation.json" }</w:instrText>
      </w:r>
      <w:r w:rsidR="00CA7FE2" w:rsidRPr="000767AE">
        <w:rPr>
          <w:rFonts w:ascii="Arial" w:hAnsi="Arial"/>
          <w:sz w:val="24"/>
        </w:rPr>
        <w:fldChar w:fldCharType="separate"/>
      </w:r>
      <w:r w:rsidR="0081077D" w:rsidRPr="000767AE">
        <w:rPr>
          <w:rFonts w:ascii="Arial" w:hAnsi="Arial"/>
          <w:noProof/>
          <w:sz w:val="24"/>
          <w:vertAlign w:val="superscript"/>
        </w:rPr>
        <w:t>6</w:t>
      </w:r>
      <w:r w:rsidR="00CA7FE2" w:rsidRPr="000767AE">
        <w:rPr>
          <w:rFonts w:ascii="Arial" w:hAnsi="Arial"/>
          <w:sz w:val="24"/>
        </w:rPr>
        <w:fldChar w:fldCharType="end"/>
      </w:r>
    </w:p>
    <w:p w14:paraId="04A23795" w14:textId="77777777" w:rsidR="00A053CE" w:rsidRPr="000767AE" w:rsidRDefault="00A053CE" w:rsidP="00A053CE">
      <w:pPr>
        <w:rPr>
          <w:rFonts w:ascii="Arial" w:hAnsi="Arial" w:cs="Arial"/>
          <w:sz w:val="24"/>
          <w:szCs w:val="24"/>
        </w:rPr>
      </w:pPr>
    </w:p>
    <w:p w14:paraId="5E3AF9D6" w14:textId="7B3DA63F" w:rsidR="00A053CE" w:rsidRPr="000767AE" w:rsidRDefault="00A053CE" w:rsidP="00A053CE">
      <w:pPr>
        <w:rPr>
          <w:rFonts w:ascii="Arial" w:hAnsi="Arial" w:cs="Arial"/>
          <w:sz w:val="24"/>
          <w:szCs w:val="24"/>
        </w:rPr>
      </w:pPr>
      <w:r w:rsidRPr="000767AE">
        <w:rPr>
          <w:rFonts w:ascii="Arial" w:hAnsi="Arial"/>
          <w:sz w:val="24"/>
        </w:rPr>
        <w:t xml:space="preserve">It was originally </w:t>
      </w:r>
      <w:r w:rsidR="00D87536" w:rsidRPr="000767AE">
        <w:rPr>
          <w:rFonts w:ascii="Arial" w:hAnsi="Arial"/>
          <w:sz w:val="24"/>
        </w:rPr>
        <w:t xml:space="preserve">thought </w:t>
      </w:r>
      <w:r w:rsidRPr="000767AE">
        <w:rPr>
          <w:rFonts w:ascii="Arial" w:hAnsi="Arial"/>
          <w:sz w:val="24"/>
        </w:rPr>
        <w:t>that the production of antimicrobial molecules by saprophytic organisms inhibit</w:t>
      </w:r>
      <w:r w:rsidR="00B92EED" w:rsidRPr="000767AE">
        <w:rPr>
          <w:rFonts w:ascii="Arial" w:hAnsi="Arial"/>
          <w:sz w:val="24"/>
        </w:rPr>
        <w:t>ed the</w:t>
      </w:r>
      <w:r w:rsidRPr="000767AE">
        <w:rPr>
          <w:rFonts w:ascii="Arial" w:hAnsi="Arial"/>
          <w:sz w:val="24"/>
        </w:rPr>
        <w:t xml:space="preserve"> growth of neighbouring organisms, providing a competitive advantage in the local environment; recent findings suggest a more complex interaction. First, the concentration of antimicrobial molecules in the soil appears to be too low to inhibit growth of other bacteria.</w:t>
      </w:r>
      <w:r w:rsidR="00CA7FE2" w:rsidRPr="000767AE">
        <w:rPr>
          <w:rFonts w:ascii="Arial" w:hAnsi="Arial"/>
          <w:sz w:val="24"/>
        </w:rPr>
        <w:fldChar w:fldCharType="begin" w:fldLock="1"/>
      </w:r>
      <w:r w:rsidR="0081077D" w:rsidRPr="000767AE">
        <w:rPr>
          <w:rFonts w:ascii="Arial" w:hAnsi="Arial"/>
          <w:sz w:val="24"/>
        </w:rPr>
        <w:instrText>ADDIN CSL_CITATION { "citationItems" : [ { "id" : "ITEM-1", "itemData" : { "DOI" : "10.1098/rspb.2009.0320", "ISSN" : "0962-8452", "PMID" : "19364732", "abstract" : "Antibiotics are among the most valuable compounds used for fighting human diseases. Unfortunately, pathogenic bacteria have evolved towards resistance. One important and frequently forgotten aspect of antibiotics and their resistance genes is that they evolved in non-clinical (natural) environments before the use of antibiotics by humans. Given that the biosphere is mainly formed by micro-organisms, learning the functional role of antibiotics and their resistance elements in nature has relevant implications both for human health and from an ecological perspective. Recent works have suggested that some antibiotics may serve for signalling purposes at the low concentrations probably found in natural ecosystems, whereas some antibiotic resistance genes were originally selected in their hosts for metabolic purposes or for signal trafficking. However, the high concentrations of antibiotics released in specific habitats (for instance, clinical settings) as a consequence of human activity can shift those functional roles. The pollution of natural ecosystems by antibiotics and resistance genes might have consequences for the evolution of the microbiosphere. Whereas antibiotics produce transient and usually local challenges in microbial communities, antibiotic resistance genes present in gene-transfer units can spread in nature with consequences for human health and the evolution of environmental microbiota that are largely ignored.", "author" : [ { "dropping-particle" : "", "family" : "Martinez", "given" : "Jose L", "non-dropping-particle" : "", "parse-names" : false, "suffix" : "" } ], "container-title" : "Proceeding of the Royal Society. Biological Sciences.", "id" : "ITEM-1", "issue" : "1667", "issued" : { "date-parts" : [ [ "2009", "7", "22" ] ] }, "page" : "2521-30", "title" : "The role of natural environments in the evolution of resistance traits in pathogenic bacteria.", "type" : "article-journal", "volume" : "276" }, "uris" : [ "http://www.mendeley.com/documents/?uuid=c8ac946c-ce4f-44b0-8f5e-2820ca0430bd" ] } ], "mendeley" : { "formattedCitation" : "&lt;sup&gt;7&lt;/sup&gt;", "plainTextFormattedCitation" : "7", "previouslyFormattedCitation" : "&lt;sup&gt;7&lt;/sup&gt;" }, "properties" : { "noteIndex" : 0 }, "schema" : "https://github.com/citation-style-language/schema/raw/master/csl-citation.json" }</w:instrText>
      </w:r>
      <w:r w:rsidR="00CA7FE2" w:rsidRPr="000767AE">
        <w:rPr>
          <w:rFonts w:ascii="Arial" w:hAnsi="Arial"/>
          <w:sz w:val="24"/>
        </w:rPr>
        <w:fldChar w:fldCharType="separate"/>
      </w:r>
      <w:r w:rsidR="0081077D" w:rsidRPr="000767AE">
        <w:rPr>
          <w:rFonts w:ascii="Arial" w:hAnsi="Arial"/>
          <w:noProof/>
          <w:sz w:val="24"/>
          <w:vertAlign w:val="superscript"/>
        </w:rPr>
        <w:t>7</w:t>
      </w:r>
      <w:r w:rsidR="00CA7FE2" w:rsidRPr="000767AE">
        <w:rPr>
          <w:rFonts w:ascii="Arial" w:hAnsi="Arial"/>
          <w:sz w:val="24"/>
        </w:rPr>
        <w:fldChar w:fldCharType="end"/>
      </w:r>
      <w:r w:rsidRPr="000767AE">
        <w:rPr>
          <w:rFonts w:ascii="Arial" w:hAnsi="Arial" w:cs="Arial"/>
          <w:sz w:val="24"/>
          <w:szCs w:val="24"/>
        </w:rPr>
        <w:t xml:space="preserve"> </w:t>
      </w:r>
      <w:r w:rsidRPr="000767AE">
        <w:rPr>
          <w:rFonts w:ascii="Arial" w:hAnsi="Arial"/>
          <w:sz w:val="24"/>
        </w:rPr>
        <w:t xml:space="preserve">Second, </w:t>
      </w:r>
      <w:r w:rsidR="00BA668B" w:rsidRPr="000767AE">
        <w:rPr>
          <w:rFonts w:ascii="Arial" w:hAnsi="Arial" w:cs="Arial"/>
          <w:sz w:val="24"/>
          <w:szCs w:val="24"/>
        </w:rPr>
        <w:t>r</w:t>
      </w:r>
      <w:r w:rsidR="007716CC" w:rsidRPr="000767AE">
        <w:rPr>
          <w:rFonts w:ascii="Arial" w:hAnsi="Arial" w:cs="Arial"/>
          <w:sz w:val="24"/>
          <w:szCs w:val="24"/>
        </w:rPr>
        <w:t xml:space="preserve">ecent evidence </w:t>
      </w:r>
      <w:r w:rsidR="00190C7D" w:rsidRPr="000767AE">
        <w:rPr>
          <w:rFonts w:ascii="Arial" w:hAnsi="Arial" w:cs="Arial"/>
          <w:sz w:val="24"/>
          <w:szCs w:val="24"/>
        </w:rPr>
        <w:t xml:space="preserve">suggests </w:t>
      </w:r>
      <w:r w:rsidR="007716CC" w:rsidRPr="000767AE">
        <w:rPr>
          <w:rFonts w:ascii="Arial" w:hAnsi="Arial" w:cs="Arial"/>
          <w:sz w:val="24"/>
          <w:szCs w:val="24"/>
        </w:rPr>
        <w:t xml:space="preserve">even sub-lethal levels of </w:t>
      </w:r>
      <w:r w:rsidR="00917190" w:rsidRPr="000767AE">
        <w:rPr>
          <w:rFonts w:ascii="Arial" w:hAnsi="Arial" w:cs="Arial"/>
          <w:sz w:val="24"/>
          <w:szCs w:val="24"/>
        </w:rPr>
        <w:t xml:space="preserve">antimicrobials </w:t>
      </w:r>
      <w:r w:rsidR="007716CC" w:rsidRPr="000767AE">
        <w:rPr>
          <w:rFonts w:ascii="Arial" w:hAnsi="Arial" w:cs="Arial"/>
          <w:sz w:val="24"/>
          <w:szCs w:val="24"/>
        </w:rPr>
        <w:t>have significant effects on bacterial physiology</w:t>
      </w:r>
      <w:r w:rsidR="006C5ED1" w:rsidRPr="000767AE">
        <w:rPr>
          <w:rFonts w:ascii="Arial" w:hAnsi="Arial" w:cs="Arial"/>
          <w:sz w:val="24"/>
          <w:szCs w:val="24"/>
        </w:rPr>
        <w:t>,</w:t>
      </w:r>
      <w:r w:rsidR="007716CC" w:rsidRPr="000767AE">
        <w:rPr>
          <w:rFonts w:ascii="Arial" w:hAnsi="Arial" w:cs="Arial"/>
          <w:sz w:val="24"/>
          <w:szCs w:val="24"/>
        </w:rPr>
        <w:t xml:space="preserve"> increasing the rate of </w:t>
      </w:r>
      <w:r w:rsidR="000029CD" w:rsidRPr="000767AE">
        <w:rPr>
          <w:rFonts w:ascii="Arial" w:hAnsi="Arial" w:cs="Arial"/>
          <w:sz w:val="24"/>
          <w:szCs w:val="24"/>
        </w:rPr>
        <w:t xml:space="preserve">microbial </w:t>
      </w:r>
      <w:r w:rsidR="007716CC" w:rsidRPr="000767AE">
        <w:rPr>
          <w:rFonts w:ascii="Arial" w:hAnsi="Arial" w:cs="Arial"/>
          <w:sz w:val="24"/>
          <w:szCs w:val="24"/>
        </w:rPr>
        <w:t xml:space="preserve">adaptive evolution and </w:t>
      </w:r>
      <w:r w:rsidR="006C5ED1" w:rsidRPr="000767AE">
        <w:rPr>
          <w:rFonts w:ascii="Arial" w:hAnsi="Arial" w:cs="Arial"/>
          <w:sz w:val="24"/>
          <w:szCs w:val="24"/>
        </w:rPr>
        <w:t xml:space="preserve">possibly acting </w:t>
      </w:r>
      <w:r w:rsidR="000029CD" w:rsidRPr="000767AE">
        <w:rPr>
          <w:rFonts w:ascii="Arial" w:hAnsi="Arial" w:cs="Arial"/>
          <w:sz w:val="24"/>
          <w:szCs w:val="24"/>
        </w:rPr>
        <w:t xml:space="preserve">as signalling molecules </w:t>
      </w:r>
      <w:r w:rsidR="007716CC" w:rsidRPr="000767AE">
        <w:rPr>
          <w:rFonts w:ascii="Arial" w:hAnsi="Arial" w:cs="Arial"/>
          <w:sz w:val="24"/>
          <w:szCs w:val="24"/>
        </w:rPr>
        <w:t>influenc</w:t>
      </w:r>
      <w:r w:rsidR="000029CD" w:rsidRPr="000767AE">
        <w:rPr>
          <w:rFonts w:ascii="Arial" w:hAnsi="Arial" w:cs="Arial"/>
          <w:sz w:val="24"/>
          <w:szCs w:val="24"/>
        </w:rPr>
        <w:t>ing</w:t>
      </w:r>
      <w:r w:rsidR="007716CC" w:rsidRPr="000767AE">
        <w:rPr>
          <w:rFonts w:ascii="Arial" w:hAnsi="Arial" w:cs="Arial"/>
          <w:sz w:val="24"/>
          <w:szCs w:val="24"/>
        </w:rPr>
        <w:t xml:space="preserve"> microbial and host gene expression.</w:t>
      </w:r>
      <w:r w:rsidR="007716CC" w:rsidRPr="000767AE">
        <w:rPr>
          <w:rFonts w:ascii="Arial" w:hAnsi="Arial" w:cs="Arial"/>
          <w:sz w:val="24"/>
          <w:szCs w:val="24"/>
        </w:rPr>
        <w:fldChar w:fldCharType="begin" w:fldLock="1"/>
      </w:r>
      <w:r w:rsidR="0081077D" w:rsidRPr="000767AE">
        <w:rPr>
          <w:rFonts w:ascii="Arial" w:hAnsi="Arial" w:cs="Arial"/>
          <w:sz w:val="24"/>
          <w:szCs w:val="24"/>
        </w:rPr>
        <w:instrText>ADDIN CSL_CITATION { "citationItems" : [ { "id" : "ITEM-1", "itemData" : { "DOI" : "10.1038/nrmicro3270", "ISSN" : "1740-1534", "PMID" : "24861036", "abstract" : "The widespread use of antibiotics results in the generation of antibiotic concentration gradients in humans, livestock and the environment. Thus, bacteria are frequently exposed to non-lethal (that is, subinhibitory) concentrations of drugs, and recent evidence suggests that this is likely to have an important role in the evolution of antibiotic resistance. In this Review, we discuss the ecology of antibiotics and the ability of subinhibitory concentrations to select for bacterial resistance. We also consider the effects of low-level drug exposure on bacterial physiology, including the generation of genetic and phenotypic variability, as well as the ability of antibiotics to function as signalling molecules. Together, these effects accelerate the emergence and spread of antibiotic-resistant bacteria among humans and animals.", "author" : [ { "dropping-particle" : "", "family" : "Andersson", "given" : "Dan I", "non-dropping-particle" : "", "parse-names" : false, "suffix" : "" }, { "dropping-particle" : "", "family" : "Hughes", "given" : "Diarmaid", "non-dropping-particle" : "", "parse-names" : false, "suffix" : "" } ], "container-title" : "Nature Reviews Microbiology", "id" : "ITEM-1", "issue" : "7", "issued" : { "date-parts" : [ [ "2014", "7" ] ] }, "page" : "465-78", "publisher" : "Nature Publishing Group", "title" : "Microbiological effects of sublethal levels of antibiotics.", "type" : "article-journal", "volume" : "12" }, "uris" : [ "http://www.mendeley.com/documents/?uuid=6b067274-148f-4f84-9f22-3ec71dadc31c" ] } ], "mendeley" : { "formattedCitation" : "&lt;sup&gt;8&lt;/sup&gt;", "plainTextFormattedCitation" : "8", "previouslyFormattedCitation" : "&lt;sup&gt;8&lt;/sup&gt;" }, "properties" : { "noteIndex" : 0 }, "schema" : "https://github.com/citation-style-language/schema/raw/master/csl-citation.json" }</w:instrText>
      </w:r>
      <w:r w:rsidR="007716CC" w:rsidRPr="000767AE">
        <w:rPr>
          <w:rFonts w:ascii="Arial" w:hAnsi="Arial" w:cs="Arial"/>
          <w:sz w:val="24"/>
          <w:szCs w:val="24"/>
        </w:rPr>
        <w:fldChar w:fldCharType="separate"/>
      </w:r>
      <w:r w:rsidR="0081077D" w:rsidRPr="000767AE">
        <w:rPr>
          <w:rFonts w:ascii="Arial" w:hAnsi="Arial" w:cs="Arial"/>
          <w:noProof/>
          <w:sz w:val="24"/>
          <w:szCs w:val="24"/>
          <w:vertAlign w:val="superscript"/>
        </w:rPr>
        <w:t>8</w:t>
      </w:r>
      <w:r w:rsidR="007716CC" w:rsidRPr="000767AE">
        <w:rPr>
          <w:rFonts w:ascii="Arial" w:hAnsi="Arial" w:cs="Arial"/>
          <w:sz w:val="24"/>
          <w:szCs w:val="24"/>
        </w:rPr>
        <w:fldChar w:fldCharType="end"/>
      </w:r>
      <w:r w:rsidRPr="000767AE">
        <w:rPr>
          <w:rFonts w:ascii="Arial" w:hAnsi="Arial" w:cs="Arial"/>
          <w:sz w:val="24"/>
          <w:szCs w:val="24"/>
        </w:rPr>
        <w:t xml:space="preserve"> </w:t>
      </w:r>
      <w:r w:rsidRPr="000767AE">
        <w:rPr>
          <w:rFonts w:ascii="Arial" w:hAnsi="Arial"/>
          <w:sz w:val="24"/>
        </w:rPr>
        <w:t>Of particular note are some saprophytic bacteria that produce carbapenems (an important class of broad spectrum antimicrobials in clinical use), where the genes involved in the synthesis of carbapenems may also have a role in the quorum sensing apparatus (the mechanism through which a colony of micro-organisms coordinates growth and gene expression) or formation of biofilms.</w:t>
      </w:r>
      <w:r w:rsidRPr="000767AE">
        <w:rPr>
          <w:rFonts w:ascii="Arial" w:hAnsi="Arial" w:cs="Arial"/>
          <w:sz w:val="24"/>
          <w:szCs w:val="24"/>
          <w:vertAlign w:val="superscript"/>
        </w:rPr>
        <w:fldChar w:fldCharType="begin" w:fldLock="1"/>
      </w:r>
      <w:r w:rsidR="0081077D" w:rsidRPr="000767AE">
        <w:rPr>
          <w:rFonts w:ascii="Arial" w:hAnsi="Arial" w:cs="Arial"/>
          <w:sz w:val="24"/>
          <w:szCs w:val="24"/>
          <w:vertAlign w:val="superscript"/>
        </w:rPr>
        <w:instrText>ADDIN CSL_CITATION { "citationItems" : [ { "id" : "ITEM-1", "itemData" : { "DOI" : "10.1111/j.1462-2920.2009.01972.x", "ISSN" : "1462-2920", "PMID" : "19601960", "abstract" : "Antibiotic-resistant pathogens are profoundly important to human health, but the environmental reservoirs of resistance determinants are poorly understood. The origins of antibiotic resistance in the environment is relevant to human health because of the increasing importance of zoonotic diseases as well as the need for predicting emerging resistant pathogens. This Review explores the presence and spread of antibiotic resistance in non-agricultural, non-clinical environments and demonstrates the need for more intensive investigation on this subject.", "author" : [ { "dropping-particle" : "", "family" : "Aminov", "given" : "Rustam I", "non-dropping-particle" : "", "parse-names" : false, "suffix" : "" } ], "container-title" : "Environmental Microbiology", "id" : "ITEM-1", "issue" : "12", "issued" : { "date-parts" : [ [ "2009", "12" ] ] }, "page" : "2970-88", "title" : "The role of antibiotics and antibiotic resistance in nature.", "type" : "article-journal", "volume" : "11" }, "uris" : [ "http://www.mendeley.com/documents/?uuid=da2f6176-369d-413a-a3a7-5309c6e6b622" ] } ], "mendeley" : { "formattedCitation" : "&lt;sup&gt;6&lt;/sup&gt;", "plainTextFormattedCitation" : "6", "previouslyFormattedCitation" : "&lt;sup&gt;6&lt;/sup&gt;" }, "properties" : { "noteIndex" : 0 }, "schema" : "https://github.com/citation-style-language/schema/raw/master/csl-citation.json" }</w:instrText>
      </w:r>
      <w:r w:rsidRPr="000767AE">
        <w:rPr>
          <w:rFonts w:ascii="Arial" w:hAnsi="Arial" w:cs="Arial"/>
          <w:sz w:val="24"/>
          <w:szCs w:val="24"/>
          <w:vertAlign w:val="superscript"/>
        </w:rPr>
        <w:fldChar w:fldCharType="separate"/>
      </w:r>
      <w:r w:rsidR="0081077D" w:rsidRPr="000767AE">
        <w:rPr>
          <w:rFonts w:ascii="Arial" w:hAnsi="Arial" w:cs="Arial"/>
          <w:noProof/>
          <w:sz w:val="24"/>
          <w:szCs w:val="24"/>
          <w:vertAlign w:val="superscript"/>
        </w:rPr>
        <w:t>6</w:t>
      </w:r>
      <w:r w:rsidRPr="000767AE">
        <w:rPr>
          <w:rFonts w:ascii="Arial" w:hAnsi="Arial" w:cs="Arial"/>
          <w:sz w:val="24"/>
          <w:szCs w:val="24"/>
          <w:vertAlign w:val="superscript"/>
        </w:rPr>
        <w:fldChar w:fldCharType="end"/>
      </w:r>
      <w:r w:rsidRPr="000767AE">
        <w:rPr>
          <w:rFonts w:ascii="Arial" w:hAnsi="Arial" w:cs="Arial"/>
          <w:sz w:val="24"/>
          <w:szCs w:val="24"/>
          <w:vertAlign w:val="superscript"/>
        </w:rPr>
        <w:t xml:space="preserve">  </w:t>
      </w:r>
      <w:r w:rsidRPr="000767AE">
        <w:rPr>
          <w:rFonts w:ascii="Arial" w:hAnsi="Arial"/>
          <w:sz w:val="24"/>
        </w:rPr>
        <w:t xml:space="preserve">This leads to further questions about the unintended consequences of “anti”-microbial agents, with </w:t>
      </w:r>
      <w:r w:rsidR="00947EC3" w:rsidRPr="000767AE">
        <w:rPr>
          <w:rFonts w:ascii="Arial" w:hAnsi="Arial"/>
          <w:sz w:val="24"/>
        </w:rPr>
        <w:t>our</w:t>
      </w:r>
      <w:r w:rsidRPr="000767AE">
        <w:rPr>
          <w:rFonts w:ascii="Arial" w:hAnsi="Arial"/>
          <w:sz w:val="24"/>
        </w:rPr>
        <w:t xml:space="preserve"> understanding of their </w:t>
      </w:r>
      <w:r w:rsidRPr="000767AE">
        <w:rPr>
          <w:rFonts w:ascii="Arial" w:hAnsi="Arial"/>
          <w:sz w:val="24"/>
        </w:rPr>
        <w:lastRenderedPageBreak/>
        <w:t xml:space="preserve">potential impact on micro-organisms, beyond their </w:t>
      </w:r>
      <w:r w:rsidR="000E5880" w:rsidRPr="000767AE">
        <w:rPr>
          <w:rFonts w:ascii="Arial" w:hAnsi="Arial"/>
          <w:sz w:val="24"/>
        </w:rPr>
        <w:t>inhibitory</w:t>
      </w:r>
      <w:r w:rsidRPr="000767AE">
        <w:rPr>
          <w:rFonts w:ascii="Arial" w:hAnsi="Arial"/>
          <w:sz w:val="24"/>
        </w:rPr>
        <w:t xml:space="preserve"> action</w:t>
      </w:r>
      <w:r w:rsidR="00947EC3" w:rsidRPr="000767AE">
        <w:rPr>
          <w:rFonts w:ascii="Arial" w:hAnsi="Arial"/>
          <w:sz w:val="24"/>
        </w:rPr>
        <w:t>, remaining incomplete</w:t>
      </w:r>
      <w:r w:rsidRPr="000767AE">
        <w:rPr>
          <w:rFonts w:ascii="Arial" w:hAnsi="Arial"/>
          <w:sz w:val="24"/>
        </w:rPr>
        <w:t>.</w:t>
      </w:r>
      <w:r w:rsidRPr="000767AE">
        <w:rPr>
          <w:rFonts w:ascii="Arial" w:hAnsi="Arial"/>
          <w:sz w:val="24"/>
        </w:rPr>
        <w:fldChar w:fldCharType="begin" w:fldLock="1"/>
      </w:r>
      <w:r w:rsidR="0081077D" w:rsidRPr="000767AE">
        <w:rPr>
          <w:rFonts w:ascii="Arial" w:hAnsi="Arial"/>
          <w:sz w:val="24"/>
        </w:rPr>
        <w:instrText>ADDIN CSL_CITATION { "citationItems" : [ { "id" : "ITEM-1", "itemData" : { "DOI" : "10.3389/fmicb.2013.00422", "ISSN" : "1664-302X", "PMID" : "24409175", "abstract" : "Infections caused by Pseudomonas aeruginosa often are hard to treat; inappropriate chemotherapy readily selects multidrug-resistant P. aeruginosa. This organism can be exposed to a wide range of concentrations of antimicrobials during treatment; learning more about the responses of P. aeruginosa to antimicrobials is therefore important. We review here responses of the bacterium P. aeruginosa upon exposure to antimicrobials at levels below the inhibitory concentration. Carbapenems (e.g., imipenem) have been shown to induce the formation of thicker and more robust biofilms, while fluoroquinolones (e.g., ciprofloxacin) and aminoglycosides (e.g., tobramycin) have been shown to induce biofilm formation. Ciprofloxacin also has been demonstrated to enhance the frequency of mutation to carbapenem resistance. Conversely, although macrolides (e.g., azithromycin) typically are not effective against P. aeruginosa because of the pseudomonal outer-membrane impermeability and efflux, macrolides do lead to a reduction in virulence factor production. Similarly, tetracycline is not very effective against this organism, but is known to induce the type-III secretion system and consequently enhance cytotoxicity of P. aeruginosain vivo. Of special note are the effects of antibacterials and disinfectants on pseudomonal efflux systems. Sub-inhibitory concentrations of protein synthesis inhibitors (aminoglycosides, tetracycline, chloramphenicol, etc.) induce the MexXY multidrug efflux system. This response is known to be mediated by interference with the translation of the leader peptide PA5471.1, with consequent effects on expression of the PA5471 gene product. Additionally, induction of the MexCD-OprJ multidrug efflux system is observed upon exposure to sub-inhibitory concentrations of disinfectants such as chlorhexidine and benzalkonium. This response is known to be dependent upon the AlgU stress response factor. Altogether, these biological responses of P. aeruginosa provide useful clues for the improvement and optimization of chemotherapy in order to appropriately treat pseudomonal infections while minimizing the emergence of resistance.", "author" : [ { "dropping-particle" : "", "family" : "Morita", "given" : "Yuji", "non-dropping-particle" : "", "parse-names" : false, "suffix" : "" }, { "dropping-particle" : "", "family" : "Tomida", "given" : "Junko", "non-dropping-particle" : "", "parse-names" : false, "suffix" : "" }, { "dropping-particle" : "", "family" : "Kawamura", "given" : "Yoshiaki", "non-dropping-particle" : "", "parse-names" : false, "suffix" : "" } ], "container-title" : "Frontiers in Microbiology", "id" : "ITEM-1", "issue" : "January", "issued" : { "date-parts" : [ [ "2014", "1" ] ] }, "page" : "422", "title" : "Responses of Pseudomonas aeruginosa to antimicrobials.", "type" : "article-journal", "volume" : "4" }, "uris" : [ "http://www.mendeley.com/documents/?uuid=b5c1b827-3939-407d-9e48-12bd03d80d71" ] } ], "mendeley" : { "formattedCitation" : "&lt;sup&gt;9&lt;/sup&gt;", "plainTextFormattedCitation" : "9", "previouslyFormattedCitation" : "&lt;sup&gt;9&lt;/sup&gt;" }, "properties" : { "noteIndex" : 0 }, "schema" : "https://github.com/citation-style-language/schema/raw/master/csl-citation.json" }</w:instrText>
      </w:r>
      <w:r w:rsidRPr="000767AE">
        <w:rPr>
          <w:rFonts w:ascii="Arial" w:hAnsi="Arial"/>
          <w:sz w:val="24"/>
        </w:rPr>
        <w:fldChar w:fldCharType="separate"/>
      </w:r>
      <w:r w:rsidR="0081077D" w:rsidRPr="000767AE">
        <w:rPr>
          <w:rFonts w:ascii="Arial" w:hAnsi="Arial"/>
          <w:noProof/>
          <w:sz w:val="24"/>
          <w:vertAlign w:val="superscript"/>
        </w:rPr>
        <w:t>9</w:t>
      </w:r>
      <w:r w:rsidRPr="000767AE">
        <w:rPr>
          <w:rFonts w:ascii="Arial" w:hAnsi="Arial"/>
          <w:sz w:val="24"/>
        </w:rPr>
        <w:fldChar w:fldCharType="end"/>
      </w:r>
      <w:r w:rsidRPr="000767AE">
        <w:rPr>
          <w:rFonts w:ascii="Arial" w:hAnsi="Arial" w:cs="Arial"/>
          <w:sz w:val="24"/>
          <w:szCs w:val="24"/>
        </w:rPr>
        <w:t xml:space="preserve"> </w:t>
      </w:r>
    </w:p>
    <w:p w14:paraId="178F751D" w14:textId="14CC6B54" w:rsidR="00A053CE" w:rsidRPr="000767AE" w:rsidRDefault="00A053CE" w:rsidP="00A053CE">
      <w:pPr>
        <w:rPr>
          <w:rFonts w:ascii="Arial" w:hAnsi="Arial" w:cs="Arial"/>
          <w:sz w:val="24"/>
          <w:szCs w:val="24"/>
        </w:rPr>
      </w:pPr>
    </w:p>
    <w:p w14:paraId="758CA25D" w14:textId="3E363694" w:rsidR="00A053CE" w:rsidRPr="000767AE" w:rsidRDefault="00D87536" w:rsidP="00A053CE">
      <w:pPr>
        <w:rPr>
          <w:rFonts w:ascii="Arial" w:hAnsi="Arial"/>
          <w:sz w:val="24"/>
        </w:rPr>
      </w:pPr>
      <w:r w:rsidRPr="000767AE">
        <w:rPr>
          <w:rFonts w:ascii="Arial" w:hAnsi="Arial"/>
          <w:sz w:val="24"/>
        </w:rPr>
        <w:t>E</w:t>
      </w:r>
      <w:r w:rsidR="00A053CE" w:rsidRPr="000767AE">
        <w:rPr>
          <w:rFonts w:ascii="Arial" w:hAnsi="Arial"/>
          <w:sz w:val="24"/>
        </w:rPr>
        <w:t xml:space="preserve">mergence of resistance to synthetic antimicrobials also occurs. This has unfortunately been widely exemplified in the case of fluoroquinolones, where among </w:t>
      </w:r>
      <w:r w:rsidR="00A053CE" w:rsidRPr="000767AE">
        <w:rPr>
          <w:rFonts w:ascii="Arial" w:hAnsi="Arial"/>
          <w:i/>
          <w:sz w:val="24"/>
        </w:rPr>
        <w:t xml:space="preserve">Escherichia coli </w:t>
      </w:r>
      <w:r w:rsidR="00A053CE" w:rsidRPr="000767AE">
        <w:rPr>
          <w:rFonts w:ascii="Arial" w:hAnsi="Arial"/>
          <w:sz w:val="24"/>
        </w:rPr>
        <w:t>isolated from patients in Europe, fluoroquinolone resistance is now 10-40%.</w:t>
      </w:r>
      <w:r w:rsidR="00A053CE" w:rsidRPr="000767AE">
        <w:rPr>
          <w:rFonts w:ascii="Arial" w:hAnsi="Arial" w:cs="Arial"/>
          <w:sz w:val="24"/>
          <w:szCs w:val="24"/>
        </w:rPr>
        <w:fldChar w:fldCharType="begin" w:fldLock="1"/>
      </w:r>
      <w:r w:rsidR="0081077D" w:rsidRPr="000767AE">
        <w:rPr>
          <w:rFonts w:ascii="Arial" w:hAnsi="Arial" w:cs="Arial"/>
          <w:sz w:val="24"/>
          <w:szCs w:val="24"/>
        </w:rPr>
        <w:instrText>ADDIN CSL_CITATION { "citationItems" : [ { "id" : "ITEM-1", "itemData" : { "ISBN" : "9789291935116", "author" : [ { "dropping-particle" : "", "family" : "European Centre for Disease Prevention and Control", "given" : "", "non-dropping-particle" : "", "parse-names" : false, "suffix" : "" } ], "id" : "ITEM-1", "issued" : { "date-parts" : [ [ "2013" ] ] }, "publisher-place" : "Stockholm", "title" : "Antimicrobial resistance surveillance in Europe 2012. Annual report o the European Antimicrobial Resistance Surveillance Network (EARS-Net).", "type" : "report" }, "uris" : [ "http://www.mendeley.com/documents/?uuid=237ba15e-8aba-408f-bd9c-be503f5121f0" ] } ], "mendeley" : { "formattedCitation" : "&lt;sup&gt;10&lt;/sup&gt;", "plainTextFormattedCitation" : "10", "previouslyFormattedCitation" : "&lt;sup&gt;10&lt;/sup&gt;" }, "properties" : { "noteIndex" : 0 }, "schema" : "https://github.com/citation-style-language/schema/raw/master/csl-citation.json" }</w:instrText>
      </w:r>
      <w:r w:rsidR="00A053CE" w:rsidRPr="000767AE">
        <w:rPr>
          <w:rFonts w:ascii="Arial" w:hAnsi="Arial" w:cs="Arial"/>
          <w:sz w:val="24"/>
          <w:szCs w:val="24"/>
        </w:rPr>
        <w:fldChar w:fldCharType="separate"/>
      </w:r>
      <w:r w:rsidR="0081077D" w:rsidRPr="000767AE">
        <w:rPr>
          <w:rFonts w:ascii="Arial" w:hAnsi="Arial" w:cs="Arial"/>
          <w:noProof/>
          <w:sz w:val="24"/>
          <w:szCs w:val="24"/>
          <w:vertAlign w:val="superscript"/>
        </w:rPr>
        <w:t>10</w:t>
      </w:r>
      <w:r w:rsidR="00A053CE" w:rsidRPr="000767AE">
        <w:rPr>
          <w:rFonts w:ascii="Arial" w:hAnsi="Arial" w:cs="Arial"/>
          <w:sz w:val="24"/>
          <w:szCs w:val="24"/>
        </w:rPr>
        <w:fldChar w:fldCharType="end"/>
      </w:r>
      <w:r w:rsidR="00A053CE" w:rsidRPr="000767AE">
        <w:rPr>
          <w:rFonts w:ascii="Arial" w:hAnsi="Arial" w:cs="Arial"/>
          <w:sz w:val="24"/>
          <w:szCs w:val="24"/>
        </w:rPr>
        <w:t xml:space="preserve"> </w:t>
      </w:r>
      <w:r w:rsidR="00A053CE" w:rsidRPr="000767AE">
        <w:rPr>
          <w:rFonts w:ascii="Arial" w:hAnsi="Arial"/>
          <w:sz w:val="24"/>
        </w:rPr>
        <w:t xml:space="preserve">Numerous resistance </w:t>
      </w:r>
      <w:r w:rsidR="00A207F8" w:rsidRPr="000767AE">
        <w:rPr>
          <w:rFonts w:ascii="Arial" w:hAnsi="Arial"/>
          <w:sz w:val="24"/>
        </w:rPr>
        <w:t>mechanisms</w:t>
      </w:r>
      <w:r w:rsidR="00A053CE" w:rsidRPr="000767AE">
        <w:rPr>
          <w:rFonts w:ascii="Arial" w:hAnsi="Arial"/>
          <w:sz w:val="24"/>
        </w:rPr>
        <w:t xml:space="preserve"> have emerged including alteration of target (a DNA-gyrase), increased efflux (export of a drug out of the micro-organism), fluoroquinolone inactivation (by an aminoglycoside N-acetyltransferase) and protection of the target by DNA-binding proteins (known as Qnr).</w:t>
      </w:r>
      <w:r w:rsidR="0008712B" w:rsidRPr="000767AE">
        <w:rPr>
          <w:rFonts w:ascii="Arial" w:hAnsi="Arial"/>
          <w:sz w:val="24"/>
        </w:rPr>
        <w:fldChar w:fldCharType="begin" w:fldLock="1"/>
      </w:r>
      <w:r w:rsidR="0081077D" w:rsidRPr="000767AE">
        <w:rPr>
          <w:rFonts w:ascii="Arial" w:hAnsi="Arial"/>
          <w:sz w:val="24"/>
        </w:rPr>
        <w:instrText>ADDIN CSL_CITATION { "citationItems" : [ { "id" : "ITEM-1", "itemData" : { "DOI" : "10.1016/j.tim.2014.04.007", "ISSN" : "1878-4380", "PMID" : "24842194", "abstract" : "Quinolone and fluoroquinolone antibiotics are potent, broad-spectrum agents commonly used to treat a range of infections. Resistance to these agents is multifactorial and can be via one or a combination of target-site gene mutations, increased production of multidrug-resistance (MDR) efflux pumps, modifying enzymes, and/or target-protection proteins. Fluoroquinolone-resistant clinical isolates of bacteria have emerged readily and recent data have shown that resistance to this class of antibiotics can have diverse, species-dependent impacts on host-strain fitness. Here we outline the impacts of quinolone-resistance mutations in relation to the fitness and evolutionary success of mutant strains.", "author" : [ { "dropping-particle" : "", "family" : "Redgrave", "given" : "Liam S", "non-dropping-particle" : "", "parse-names" : false, "suffix" : "" }, { "dropping-particle" : "", "family" : "Sutton", "given" : "Sam B", "non-dropping-particle" : "", "parse-names" : false, "suffix" : "" }, { "dropping-particle" : "", "family" : "Webber", "given" : "Mark A", "non-dropping-particle" : "", "parse-names" : false, "suffix" : "" }, { "dropping-particle" : "V", "family" : "Piddock", "given" : "Laura J", "non-dropping-particle" : "", "parse-names" : false, "suffix" : "" } ], "container-title" : "Trends in Microbiology", "id" : "ITEM-1", "issue" : "8", "issued" : { "date-parts" : [ [ "2014", "5", "16" ] ] }, "page" : "438-445", "publisher" : "Elsevier Ltd", "title" : "Fluoroquinolone resistance: mechanisms, impact on bacteria, and role in evolutionary success.", "type" : "article-journal", "volume" : "22" }, "uris" : [ "http://www.mendeley.com/documents/?uuid=6c7b70ec-78f3-426d-9fdd-aae8138975e7" ] } ], "mendeley" : { "formattedCitation" : "&lt;sup&gt;11&lt;/sup&gt;", "plainTextFormattedCitation" : "11", "previouslyFormattedCitation" : "&lt;sup&gt;11&lt;/sup&gt;" }, "properties" : { "noteIndex" : 0 }, "schema" : "https://github.com/citation-style-language/schema/raw/master/csl-citation.json" }</w:instrText>
      </w:r>
      <w:r w:rsidR="0008712B" w:rsidRPr="000767AE">
        <w:rPr>
          <w:rFonts w:ascii="Arial" w:hAnsi="Arial"/>
          <w:sz w:val="24"/>
        </w:rPr>
        <w:fldChar w:fldCharType="separate"/>
      </w:r>
      <w:r w:rsidR="0081077D" w:rsidRPr="000767AE">
        <w:rPr>
          <w:rFonts w:ascii="Arial" w:hAnsi="Arial"/>
          <w:noProof/>
          <w:sz w:val="24"/>
          <w:vertAlign w:val="superscript"/>
        </w:rPr>
        <w:t>11</w:t>
      </w:r>
      <w:r w:rsidR="0008712B" w:rsidRPr="000767AE">
        <w:rPr>
          <w:rFonts w:ascii="Arial" w:hAnsi="Arial"/>
          <w:sz w:val="24"/>
        </w:rPr>
        <w:fldChar w:fldCharType="end"/>
      </w:r>
      <w:r w:rsidR="00A053CE" w:rsidRPr="000767AE">
        <w:rPr>
          <w:rFonts w:ascii="Arial" w:hAnsi="Arial" w:cs="Arial"/>
          <w:sz w:val="24"/>
          <w:szCs w:val="24"/>
        </w:rPr>
        <w:t xml:space="preserve"> </w:t>
      </w:r>
    </w:p>
    <w:p w14:paraId="2F3DB8E8" w14:textId="77777777" w:rsidR="00A053CE" w:rsidRPr="000767AE" w:rsidRDefault="00A053CE" w:rsidP="00A053CE">
      <w:pPr>
        <w:rPr>
          <w:rFonts w:ascii="Arial" w:hAnsi="Arial" w:cs="Arial"/>
          <w:sz w:val="24"/>
          <w:szCs w:val="24"/>
        </w:rPr>
      </w:pPr>
    </w:p>
    <w:p w14:paraId="6DEB5E24" w14:textId="0EA96011" w:rsidR="00A053CE" w:rsidRPr="000767AE" w:rsidRDefault="00A053CE" w:rsidP="00A053CE">
      <w:pPr>
        <w:rPr>
          <w:rFonts w:ascii="Arial" w:hAnsi="Arial" w:cs="Arial"/>
          <w:sz w:val="24"/>
          <w:szCs w:val="24"/>
        </w:rPr>
      </w:pPr>
      <w:r w:rsidRPr="000767AE">
        <w:rPr>
          <w:rFonts w:ascii="Arial" w:hAnsi="Arial" w:cs="Arial"/>
          <w:sz w:val="24"/>
          <w:szCs w:val="24"/>
        </w:rPr>
        <w:t>Even though many micro-organisms in the environment, and higher organisms including plants and animals, naturally produce antimicrobial substances, there is little evidence to indicate that this contributes significantly to the selection of antimicrobial resistant micro-organisms in their native environment.</w:t>
      </w:r>
      <w:r w:rsidRPr="000767AE">
        <w:rPr>
          <w:rFonts w:ascii="Arial" w:hAnsi="Arial" w:cs="Arial"/>
          <w:sz w:val="24"/>
          <w:szCs w:val="24"/>
        </w:rPr>
        <w:fldChar w:fldCharType="begin" w:fldLock="1"/>
      </w:r>
      <w:r w:rsidR="0081077D" w:rsidRPr="000767AE">
        <w:rPr>
          <w:rFonts w:ascii="Arial" w:hAnsi="Arial" w:cs="Arial"/>
          <w:sz w:val="24"/>
          <w:szCs w:val="24"/>
        </w:rPr>
        <w:instrText>ADDIN CSL_CITATION { "citationItems" : [ { "id" : "ITEM-1", "itemData" : { "DOI" : "10.1098/rspb.2009.0320", "ISSN" : "0962-8452", "PMID" : "19364732", "abstract" : "Antibiotics are among the most valuable compounds used for fighting human diseases. Unfortunately, pathogenic bacteria have evolved towards resistance. One important and frequently forgotten aspect of antibiotics and their resistance genes is that they evolved in non-clinical (natural) environments before the use of antibiotics by humans. Given that the biosphere is mainly formed by micro-organisms, learning the functional role of antibiotics and their resistance elements in nature has relevant implications both for human health and from an ecological perspective. Recent works have suggested that some antibiotics may serve for signalling purposes at the low concentrations probably found in natural ecosystems, whereas some antibiotic resistance genes were originally selected in their hosts for metabolic purposes or for signal trafficking. However, the high concentrations of antibiotics released in specific habitats (for instance, clinical settings) as a consequence of human activity can shift those functional roles. The pollution of natural ecosystems by antibiotics and resistance genes might have consequences for the evolution of the microbiosphere. Whereas antibiotics produce transient and usually local challenges in microbial communities, antibiotic resistance genes present in gene-transfer units can spread in nature with consequences for human health and the evolution of environmental microbiota that are largely ignored.", "author" : [ { "dropping-particle" : "", "family" : "Martinez", "given" : "Jose L", "non-dropping-particle" : "", "parse-names" : false, "suffix" : "" } ], "container-title" : "Proceeding of the Royal Society. Biological Sciences.", "id" : "ITEM-1", "issue" : "1667", "issued" : { "date-parts" : [ [ "2009", "7", "22" ] ] }, "page" : "2521-30", "title" : "The role of natural environments in the evolution of resistance traits in pathogenic bacteria.", "type" : "article-journal", "volume" : "276" }, "uris" : [ "http://www.mendeley.com/documents/?uuid=c8ac946c-ce4f-44b0-8f5e-2820ca0430bd" ] } ], "mendeley" : { "formattedCitation" : "&lt;sup&gt;7&lt;/sup&gt;", "plainTextFormattedCitation" : "7", "previouslyFormattedCitation" : "&lt;sup&gt;7&lt;/sup&gt;" }, "properties" : { "noteIndex" : 0 }, "schema" : "https://github.com/citation-style-language/schema/raw/master/csl-citation.json" }</w:instrText>
      </w:r>
      <w:r w:rsidRPr="000767AE">
        <w:rPr>
          <w:rFonts w:ascii="Arial" w:hAnsi="Arial" w:cs="Arial"/>
          <w:sz w:val="24"/>
          <w:szCs w:val="24"/>
        </w:rPr>
        <w:fldChar w:fldCharType="separate"/>
      </w:r>
      <w:r w:rsidR="0081077D" w:rsidRPr="000767AE">
        <w:rPr>
          <w:rFonts w:ascii="Arial" w:hAnsi="Arial" w:cs="Arial"/>
          <w:noProof/>
          <w:sz w:val="24"/>
          <w:szCs w:val="24"/>
          <w:vertAlign w:val="superscript"/>
        </w:rPr>
        <w:t>7</w:t>
      </w:r>
      <w:r w:rsidRPr="000767AE">
        <w:rPr>
          <w:rFonts w:ascii="Arial" w:hAnsi="Arial" w:cs="Arial"/>
          <w:sz w:val="24"/>
          <w:szCs w:val="24"/>
        </w:rPr>
        <w:fldChar w:fldCharType="end"/>
      </w:r>
      <w:r w:rsidRPr="000767AE">
        <w:rPr>
          <w:rFonts w:ascii="Arial" w:hAnsi="Arial" w:cs="Arial"/>
          <w:sz w:val="24"/>
          <w:szCs w:val="24"/>
        </w:rPr>
        <w:t xml:space="preserve"> Therefore the numerous and varied </w:t>
      </w:r>
      <w:r w:rsidRPr="00551CF0">
        <w:rPr>
          <w:rFonts w:ascii="Arial" w:hAnsi="Arial" w:cs="Arial"/>
          <w:sz w:val="24"/>
          <w:szCs w:val="24"/>
          <w:highlight w:val="yellow"/>
        </w:rPr>
        <w:t>human</w:t>
      </w:r>
      <w:r w:rsidR="000767AE" w:rsidRPr="00551CF0">
        <w:rPr>
          <w:rFonts w:ascii="Arial" w:hAnsi="Arial" w:cs="Arial"/>
          <w:sz w:val="24"/>
          <w:szCs w:val="24"/>
          <w:highlight w:val="yellow"/>
        </w:rPr>
        <w:t>,</w:t>
      </w:r>
      <w:r w:rsidR="003B67DB" w:rsidRPr="003B67DB">
        <w:rPr>
          <w:rFonts w:ascii="Arial" w:hAnsi="Arial"/>
          <w:sz w:val="24"/>
        </w:rPr>
        <w:t xml:space="preserve"> </w:t>
      </w:r>
      <w:r w:rsidR="003B67DB" w:rsidRPr="003B67DB">
        <w:rPr>
          <w:rFonts w:ascii="Arial" w:hAnsi="Arial"/>
          <w:sz w:val="24"/>
          <w:highlight w:val="yellow"/>
        </w:rPr>
        <w:t>animal</w:t>
      </w:r>
      <w:r w:rsidR="003B67DB" w:rsidRPr="003B67DB">
        <w:rPr>
          <w:rFonts w:ascii="Arial" w:hAnsi="Arial"/>
          <w:sz w:val="24"/>
        </w:rPr>
        <w:t xml:space="preserve"> </w:t>
      </w:r>
      <w:r w:rsidR="003B67DB" w:rsidRPr="000767AE">
        <w:rPr>
          <w:rFonts w:ascii="Arial" w:hAnsi="Arial"/>
          <w:sz w:val="24"/>
        </w:rPr>
        <w:t xml:space="preserve">and </w:t>
      </w:r>
      <w:r w:rsidR="003B67DB" w:rsidRPr="00551CF0">
        <w:rPr>
          <w:rFonts w:ascii="Arial" w:hAnsi="Arial"/>
          <w:sz w:val="24"/>
          <w:highlight w:val="yellow"/>
        </w:rPr>
        <w:t>agriculture</w:t>
      </w:r>
      <w:r w:rsidR="003B67DB" w:rsidRPr="000767AE">
        <w:rPr>
          <w:rFonts w:ascii="Arial" w:hAnsi="Arial"/>
          <w:sz w:val="24"/>
        </w:rPr>
        <w:t xml:space="preserve"> </w:t>
      </w:r>
      <w:r w:rsidR="003B67DB" w:rsidRPr="000767AE">
        <w:rPr>
          <w:rFonts w:ascii="Arial" w:hAnsi="Arial" w:cs="Arial"/>
          <w:sz w:val="24"/>
          <w:szCs w:val="24"/>
        </w:rPr>
        <w:t>uses of antimicrobials must be considered to be key global drivers</w:t>
      </w:r>
      <w:r w:rsidR="003B67DB">
        <w:rPr>
          <w:rFonts w:ascii="Arial" w:hAnsi="Arial" w:cs="Arial"/>
          <w:sz w:val="24"/>
          <w:szCs w:val="24"/>
        </w:rPr>
        <w:t xml:space="preserve"> of AMR.</w:t>
      </w:r>
      <w:r w:rsidR="003B67DB">
        <w:rPr>
          <w:rFonts w:ascii="Arial" w:hAnsi="Arial" w:cs="Arial"/>
          <w:sz w:val="24"/>
          <w:szCs w:val="24"/>
        </w:rPr>
        <w:fldChar w:fldCharType="begin" w:fldLock="1"/>
      </w:r>
      <w:r w:rsidR="00FE1E56">
        <w:rPr>
          <w:rFonts w:ascii="Arial" w:hAnsi="Arial" w:cs="Arial"/>
          <w:sz w:val="24"/>
          <w:szCs w:val="24"/>
        </w:rPr>
        <w:instrText>ADDIN CSL_CITATION { "citationItems" : [ { "id" : "ITEM-1", "itemData" : { "author" : [ { "dropping-particle" : "", "family" : "Mendelson", "given" : "Marc", "non-dropping-particle" : "", "parse-names" : false, "suffix" : "" }, { "dropping-particle" : "", "family" : "Balasegaram", "given" : "Manica", "non-dropping-particle" : "", "parse-names" : false, "suffix" : "" }, { "dropping-particle" : "", "family" : "Gopinathan", "given" : "Unni", "non-dropping-particle" : "", "parse-names" : false, "suffix" : "" }, { "dropping-particle" : "", "family" : "Hamer", "given" : "Davidson H", "non-dropping-particle" : "", "parse-names" : false, "suffix" : "" }, { "dropping-particle" : "", "family" : "Wertheim", "given" : "Heiman", "non-dropping-particle" : "", "parse-names" : false, "suffix" : "" }, { "dropping-particle" : "", "family" : "Basnyat", "given" : "Buddha", "non-dropping-particle" : "", "parse-names" : false, "suffix" : "" }, { "dropping-particle" : "", "family" : "Butler", "given" : "Christopher", "non-dropping-particle" : "", "parse-names" : false, "suffix" : "" }, { "dropping-particle" : "", "family" : "Tomson", "given" : "Goran", "non-dropping-particle" : "", "parse-names" : false, "suffix" : "" } ], "container-title" : "The Lancet", "id" : "ITEM-1", "issued" : { "date-parts" : [ [ "2015" ] ] }, "page" : "[under review]", "title" : "Maximising access whilst curbing excess: achieving appropriate human antimicrobial use in low and middle income countries", "type" : "article-journal" }, "uris" : [ "http://www.mendeley.com/documents/?uuid=0d943487-97f5-4f75-939a-2018fe556c0b" ] } ], "mendeley" : { "formattedCitation" : "&lt;sup&gt;2&lt;/sup&gt;", "plainTextFormattedCitation" : "2", "previouslyFormattedCitation" : "&lt;sup&gt;2&lt;/sup&gt;" }, "properties" : { "noteIndex" : 0 }, "schema" : "https://github.com/citation-style-language/schema/raw/master/csl-citation.json" }</w:instrText>
      </w:r>
      <w:r w:rsidR="003B67DB">
        <w:rPr>
          <w:rFonts w:ascii="Arial" w:hAnsi="Arial" w:cs="Arial"/>
          <w:sz w:val="24"/>
          <w:szCs w:val="24"/>
        </w:rPr>
        <w:fldChar w:fldCharType="separate"/>
      </w:r>
      <w:r w:rsidR="003B67DB" w:rsidRPr="003B67DB">
        <w:rPr>
          <w:rFonts w:ascii="Arial" w:hAnsi="Arial" w:cs="Arial"/>
          <w:noProof/>
          <w:sz w:val="24"/>
          <w:szCs w:val="24"/>
          <w:vertAlign w:val="superscript"/>
        </w:rPr>
        <w:t>2</w:t>
      </w:r>
      <w:r w:rsidR="003B67DB">
        <w:rPr>
          <w:rFonts w:ascii="Arial" w:hAnsi="Arial" w:cs="Arial"/>
          <w:sz w:val="24"/>
          <w:szCs w:val="24"/>
        </w:rPr>
        <w:fldChar w:fldCharType="end"/>
      </w:r>
      <w:r w:rsidR="003B67DB" w:rsidRPr="003B67DB">
        <w:rPr>
          <w:rFonts w:ascii="Arial" w:hAnsi="Arial" w:cs="Arial"/>
          <w:sz w:val="24"/>
          <w:szCs w:val="24"/>
          <w:vertAlign w:val="superscript"/>
        </w:rPr>
        <w:t>,</w:t>
      </w:r>
      <w:r w:rsidR="000767AE" w:rsidRPr="00551CF0">
        <w:rPr>
          <w:rFonts w:ascii="Arial" w:hAnsi="Arial" w:cs="Arial"/>
          <w:sz w:val="24"/>
          <w:szCs w:val="24"/>
          <w:highlight w:val="yellow"/>
        </w:rPr>
        <w:fldChar w:fldCharType="begin" w:fldLock="1"/>
      </w:r>
      <w:r w:rsidR="000767AE" w:rsidRPr="00551CF0">
        <w:rPr>
          <w:rFonts w:ascii="Arial" w:hAnsi="Arial" w:cs="Arial"/>
          <w:sz w:val="24"/>
          <w:szCs w:val="24"/>
          <w:highlight w:val="yellow"/>
        </w:rPr>
        <w:instrText>ADDIN CSL_CITATION { "citationItems" : [ { "id" : "ITEM-1", "itemData" : { "DOI" : "10.1186/1471-2334-14-13", "ISSN" : "1471-2334", "author" : [ { "dropping-particle" : "", "family" : "Bell", "given" : "Brian G", "non-dropping-particle" : "", "parse-names" : false, "suffix" : "" }, { "dropping-particle" : "", "family" : "Schellevis", "given" : "Francois", "non-dropping-particle" : "", "parse-names" : false, "suffix" : "" }, { "dropping-particle" : "", "family" : "Stobberingh", "given" : "Ellen", "non-dropping-particle" : "", "parse-names" : false, "suffix" : "" }, { "dropping-particle" : "", "family" : "Goossens", "given" : "Herman", "non-dropping-particle" : "", "parse-names" : false, "suffix" : "" }, { "dropping-particle" : "", "family" : "Pringle", "given" : "Mike", "non-dropping-particle" : "", "parse-names" : false, "suffix" : "" } ], "container-title" : "BMC Infectious Diseases", "id" : "ITEM-1", "issued" : { "date-parts" : [ [ "2014" ] ] }, "page" : "13", "title" : "A systematic review and meta-analysis of the effects of antibiotic consumption on antibiotic resistance", "type" : "article-journal", "volume" : "14" }, "uris" : [ "http://www.mendeley.com/documents/?uuid=9e244b45-6650-4634-b28d-7136d2449cf9" ] } ], "mendeley" : { "formattedCitation" : "&lt;sup&gt;12&lt;/sup&gt;", "plainTextFormattedCitation" : "12", "previouslyFormattedCitation" : "&lt;sup&gt;12&lt;/sup&gt;" }, "properties" : { "noteIndex" : 0 }, "schema" : "https://github.com/citation-style-language/schema/raw/master/csl-citation.json" }</w:instrText>
      </w:r>
      <w:r w:rsidR="000767AE" w:rsidRPr="00551CF0">
        <w:rPr>
          <w:rFonts w:ascii="Arial" w:hAnsi="Arial" w:cs="Arial"/>
          <w:sz w:val="24"/>
          <w:szCs w:val="24"/>
          <w:highlight w:val="yellow"/>
        </w:rPr>
        <w:fldChar w:fldCharType="separate"/>
      </w:r>
      <w:r w:rsidR="000767AE" w:rsidRPr="00551CF0">
        <w:rPr>
          <w:rFonts w:ascii="Arial" w:hAnsi="Arial" w:cs="Arial"/>
          <w:noProof/>
          <w:sz w:val="24"/>
          <w:szCs w:val="24"/>
          <w:highlight w:val="yellow"/>
          <w:vertAlign w:val="superscript"/>
        </w:rPr>
        <w:t>12</w:t>
      </w:r>
      <w:r w:rsidR="000767AE" w:rsidRPr="00551CF0">
        <w:rPr>
          <w:rFonts w:ascii="Arial" w:hAnsi="Arial" w:cs="Arial"/>
          <w:sz w:val="24"/>
          <w:szCs w:val="24"/>
          <w:highlight w:val="yellow"/>
        </w:rPr>
        <w:fldChar w:fldCharType="end"/>
      </w:r>
      <w:r w:rsidR="003B67DB" w:rsidRPr="003B67DB">
        <w:rPr>
          <w:rFonts w:ascii="Arial" w:hAnsi="Arial" w:cs="Arial"/>
          <w:sz w:val="24"/>
          <w:szCs w:val="24"/>
          <w:highlight w:val="yellow"/>
          <w:vertAlign w:val="superscript"/>
        </w:rPr>
        <w:t>,</w:t>
      </w:r>
      <w:r w:rsidR="00367C57" w:rsidRPr="003B67DB">
        <w:rPr>
          <w:rFonts w:ascii="Arial" w:hAnsi="Arial"/>
          <w:sz w:val="24"/>
          <w:highlight w:val="yellow"/>
        </w:rPr>
        <w:fldChar w:fldCharType="begin" w:fldLock="1"/>
      </w:r>
      <w:r w:rsidR="000767AE" w:rsidRPr="003B67DB">
        <w:rPr>
          <w:rFonts w:ascii="Arial" w:hAnsi="Arial"/>
          <w:sz w:val="24"/>
          <w:highlight w:val="yellow"/>
        </w:rPr>
        <w:instrText>ADDIN CSL_CITATION { "citationItems" : [ { "id" : "ITEM-1", "itemData" : { "ISSN" : "1468-2877", "PMID" : "22298919", "abstract" : "Antibiotic use plays a major role in the emerging public health crisis of antibiotic resistance. Although the majority of antibiotic use occurs in agricultural settings, relatively little attention has been paid to how antibiotic use in farm animals contributes to the overall problem of antibiotic resistance. The aim of this review is to summarize literature on the role of antibiotics in the development of resistance and its risk to human health. We searched multiple databases to identify major lines of argument supporting the role of agricultural antibiotic use in the development of resistance and to summarize existing regulatory and policy documents. Several lines of reasoning support the conclusion that agricultural antibiotics are associated with resistance, yet most public policy is based on expert opinion and consensus. Finally, we propose strategies to address current gaps in knowledge.", "author" : [ { "dropping-particle" : "", "family" : "Landers", "given" : "Timothy F", "non-dropping-particle" : "", "parse-names" : false, "suffix" : "" }, { "dropping-particle" : "", "family" : "Cohen", "given" : "Bevin", "non-dropping-particle" : "", "parse-names" : false, "suffix" : "" }, { "dropping-particle" : "", "family" : "Wittum", "given" : "Thomas E", "non-dropping-particle" : "", "parse-names" : false, "suffix" : "" }, { "dropping-particle" : "", "family" : "Larson", "given" : "Elaine L", "non-dropping-particle" : "", "parse-names" : false, "suffix" : "" } ], "container-title" : "Public Health Reports", "id" : "ITEM-1", "issue" : "1", "issued" : { "date-parts" : [ [ "2012" ] ] }, "page" : "4-22", "title" : "A review of antibiotic use in food animals: perspective, policy, and potential.", "type" : "article-journal", "volume" : "127" }, "uris" : [ "http://www.mendeley.com/documents/?uuid=772530fc-6aea-4603-9dda-351193f345e0" ] } ], "mendeley" : { "formattedCitation" : "&lt;sup&gt;13&lt;/sup&gt;", "plainTextFormattedCitation" : "13", "previouslyFormattedCitation" : "&lt;sup&gt;13&lt;/sup&gt;" }, "properties" : { "noteIndex" : 0 }, "schema" : "https://github.com/citation-style-language/schema/raw/master/csl-citation.json" }</w:instrText>
      </w:r>
      <w:r w:rsidR="00367C57" w:rsidRPr="003B67DB">
        <w:rPr>
          <w:rFonts w:ascii="Arial" w:hAnsi="Arial"/>
          <w:sz w:val="24"/>
          <w:highlight w:val="yellow"/>
        </w:rPr>
        <w:fldChar w:fldCharType="separate"/>
      </w:r>
      <w:r w:rsidR="000767AE" w:rsidRPr="003B67DB">
        <w:rPr>
          <w:rFonts w:ascii="Arial" w:hAnsi="Arial"/>
          <w:noProof/>
          <w:sz w:val="24"/>
          <w:highlight w:val="yellow"/>
          <w:vertAlign w:val="superscript"/>
        </w:rPr>
        <w:t>13</w:t>
      </w:r>
      <w:r w:rsidR="00367C57" w:rsidRPr="003B67DB">
        <w:rPr>
          <w:rFonts w:ascii="Arial" w:hAnsi="Arial"/>
          <w:sz w:val="24"/>
          <w:highlight w:val="yellow"/>
        </w:rPr>
        <w:fldChar w:fldCharType="end"/>
      </w:r>
      <w:r w:rsidRPr="000767AE">
        <w:rPr>
          <w:rFonts w:ascii="Arial" w:hAnsi="Arial"/>
          <w:sz w:val="24"/>
        </w:rPr>
        <w:t xml:space="preserve"> </w:t>
      </w:r>
    </w:p>
    <w:p w14:paraId="79877E51" w14:textId="77777777" w:rsidR="00A053CE" w:rsidRPr="000767AE" w:rsidRDefault="00A053CE" w:rsidP="00A053CE">
      <w:pPr>
        <w:rPr>
          <w:rFonts w:ascii="Arial" w:hAnsi="Arial" w:cs="Arial"/>
          <w:sz w:val="24"/>
          <w:szCs w:val="24"/>
        </w:rPr>
      </w:pPr>
    </w:p>
    <w:p w14:paraId="5E05D15A" w14:textId="77777777" w:rsidR="00A053CE" w:rsidRPr="000767AE" w:rsidRDefault="00A053CE" w:rsidP="00A053CE">
      <w:pPr>
        <w:pStyle w:val="Heading3"/>
        <w:spacing w:before="0"/>
        <w:rPr>
          <w:rFonts w:ascii="Arial" w:hAnsi="Arial"/>
          <w:i/>
          <w:color w:val="243F60"/>
          <w:lang w:eastAsia="en-GB"/>
        </w:rPr>
      </w:pPr>
      <w:bookmarkStart w:id="3" w:name="_Toc381719160"/>
      <w:r w:rsidRPr="000767AE">
        <w:rPr>
          <w:rFonts w:ascii="Arial" w:hAnsi="Arial"/>
          <w:i/>
          <w:lang w:eastAsia="en-GB"/>
        </w:rPr>
        <w:t>2) Why does</w:t>
      </w:r>
      <w:r w:rsidRPr="000767AE">
        <w:rPr>
          <w:rFonts w:ascii="Arial" w:hAnsi="Arial"/>
          <w:i/>
          <w:color w:val="243F60"/>
        </w:rPr>
        <w:t xml:space="preserve"> antimicrobial </w:t>
      </w:r>
      <w:r w:rsidRPr="000767AE">
        <w:rPr>
          <w:rFonts w:ascii="Arial" w:hAnsi="Arial"/>
          <w:i/>
          <w:lang w:eastAsia="en-GB"/>
        </w:rPr>
        <w:t>resistance emerge at the individual human level?</w:t>
      </w:r>
    </w:p>
    <w:bookmarkEnd w:id="3"/>
    <w:p w14:paraId="203D4124" w14:textId="7AFE37E0" w:rsidR="00A053CE" w:rsidRPr="000767AE" w:rsidRDefault="00A053CE" w:rsidP="00A053CE">
      <w:pPr>
        <w:widowControl w:val="0"/>
        <w:autoSpaceDE w:val="0"/>
        <w:autoSpaceDN w:val="0"/>
        <w:adjustRightInd w:val="0"/>
        <w:rPr>
          <w:rFonts w:ascii="Arial" w:hAnsi="Arial" w:cs="Arial"/>
          <w:sz w:val="24"/>
          <w:szCs w:val="24"/>
          <w:lang w:val="en-US"/>
        </w:rPr>
      </w:pPr>
      <w:r w:rsidRPr="000767AE">
        <w:rPr>
          <w:rFonts w:ascii="Arial" w:hAnsi="Arial" w:cs="Arial"/>
          <w:sz w:val="24"/>
          <w:szCs w:val="24"/>
        </w:rPr>
        <w:t xml:space="preserve">Neonates are rapidly colonised by Enterobacteriaceae after birth, irrespective of whether they are breast fed or not. </w:t>
      </w:r>
      <w:r w:rsidRPr="000767AE">
        <w:rPr>
          <w:rFonts w:ascii="Arial" w:hAnsi="Arial" w:cs="Arial"/>
          <w:sz w:val="24"/>
          <w:szCs w:val="24"/>
          <w:lang w:val="en-US"/>
        </w:rPr>
        <w:t xml:space="preserve">A recent study </w:t>
      </w:r>
      <w:r w:rsidR="00845258" w:rsidRPr="000767AE">
        <w:rPr>
          <w:rFonts w:ascii="Arial" w:hAnsi="Arial" w:cs="Arial"/>
          <w:sz w:val="24"/>
          <w:szCs w:val="24"/>
          <w:lang w:val="en-US"/>
        </w:rPr>
        <w:t xml:space="preserve"> in</w:t>
      </w:r>
      <w:r w:rsidRPr="000767AE">
        <w:rPr>
          <w:rFonts w:ascii="Arial" w:hAnsi="Arial" w:cs="Arial"/>
          <w:sz w:val="24"/>
          <w:szCs w:val="24"/>
          <w:lang w:val="en-US"/>
        </w:rPr>
        <w:t xml:space="preserve"> India observed that in a cohort of breast fed babies 14·3% harboured </w:t>
      </w:r>
      <w:r w:rsidRPr="000767AE">
        <w:rPr>
          <w:rFonts w:ascii="Arial" w:hAnsi="Arial"/>
          <w:sz w:val="24"/>
        </w:rPr>
        <w:t>Enterobacteriaceae containing</w:t>
      </w:r>
      <w:r w:rsidRPr="000767AE">
        <w:rPr>
          <w:rFonts w:ascii="Arial" w:hAnsi="Arial"/>
          <w:sz w:val="24"/>
          <w:lang w:val="en-US"/>
        </w:rPr>
        <w:t xml:space="preserve"> an enzyme that inactivates </w:t>
      </w:r>
      <w:r w:rsidRPr="000767AE">
        <w:rPr>
          <w:rFonts w:ascii="Arial" w:hAnsi="Arial" w:cs="Arial"/>
          <w:sz w:val="24"/>
          <w:lang w:val="en-US"/>
        </w:rPr>
        <w:t>β</w:t>
      </w:r>
      <w:r w:rsidRPr="000767AE">
        <w:rPr>
          <w:rFonts w:ascii="Arial" w:hAnsi="Arial"/>
          <w:sz w:val="24"/>
          <w:lang w:val="en-US"/>
        </w:rPr>
        <w:t xml:space="preserve">-lactam drugs, an extended spectrum </w:t>
      </w:r>
      <w:r w:rsidRPr="000767AE">
        <w:rPr>
          <w:rFonts w:ascii="Arial" w:hAnsi="Arial" w:cs="Arial"/>
          <w:sz w:val="24"/>
          <w:lang w:val="en-US"/>
        </w:rPr>
        <w:t>β</w:t>
      </w:r>
      <w:r w:rsidRPr="000767AE">
        <w:rPr>
          <w:rFonts w:ascii="Arial" w:hAnsi="Arial"/>
          <w:sz w:val="24"/>
          <w:lang w:val="en-US"/>
        </w:rPr>
        <w:t>-lactamase (ES</w:t>
      </w:r>
      <w:r w:rsidR="003C0F15" w:rsidRPr="000767AE">
        <w:rPr>
          <w:rFonts w:ascii="Arial" w:hAnsi="Arial" w:cs="Arial"/>
          <w:sz w:val="24"/>
          <w:szCs w:val="24"/>
        </w:rPr>
        <w:t>β</w:t>
      </w:r>
      <w:r w:rsidRPr="000767AE">
        <w:rPr>
          <w:rFonts w:ascii="Arial" w:hAnsi="Arial"/>
          <w:sz w:val="24"/>
          <w:lang w:val="en-US"/>
        </w:rPr>
        <w:t>L)</w:t>
      </w:r>
      <w:r w:rsidR="00917190" w:rsidRPr="000767AE">
        <w:rPr>
          <w:rFonts w:ascii="Arial" w:hAnsi="Arial"/>
          <w:sz w:val="24"/>
          <w:lang w:val="en-US"/>
        </w:rPr>
        <w:t>,</w:t>
      </w:r>
      <w:r w:rsidRPr="000767AE">
        <w:rPr>
          <w:rFonts w:ascii="Arial" w:hAnsi="Arial" w:cs="Arial"/>
          <w:sz w:val="24"/>
          <w:szCs w:val="24"/>
          <w:lang w:val="en-US"/>
        </w:rPr>
        <w:t xml:space="preserve"> on day 1 and 41·5% at day 60.</w:t>
      </w:r>
      <w:r w:rsidRPr="000767AE">
        <w:rPr>
          <w:rFonts w:ascii="Arial" w:hAnsi="Arial" w:cs="Arial"/>
          <w:sz w:val="24"/>
          <w:szCs w:val="24"/>
          <w:lang w:val="en-US"/>
        </w:rPr>
        <w:fldChar w:fldCharType="begin" w:fldLock="1"/>
      </w:r>
      <w:r w:rsidR="00551CF0">
        <w:rPr>
          <w:rFonts w:ascii="Arial" w:hAnsi="Arial" w:cs="Arial"/>
          <w:sz w:val="24"/>
          <w:szCs w:val="24"/>
          <w:lang w:val="en-US"/>
        </w:rPr>
        <w:instrText>ADDIN CSL_CITATION { "citationItems" : [ { "id" : "ITEM-1", "itemData" : { "DOI" : "10.1186/1471-2180-13-136", "ISSN" : "1471-2180", "PMID" : "23773627", "abstract" : "BACKGROUND: Commensal flora constitutes a reservoir of antibiotic resistance. The increasing variety of \u03b2-lactamases and the emergence of Carbapenem resistant Enterobacteriaceae (CRE) in community, raise concerns regarding efficacy of \u03b2-lactams. It is important to know the exact load of antibiotic resistance in the absence of any antibiotic selection pressure including via food and water.In the present study gut colonization in neonates with no direct antibiotic pressure was used as a model to evaluate \u03b2-lactam resistance in the community. RESULTS: In this prospective study, 75 healthy, vaginally delivered, antibiotic naive, breast fed neonates were studied for gut colonization by Extended spectrum \u03b2-lactamases (ESBL), AmpC \u03b2-lactamases hyperproducing Enterobacteriaceae and CRE on day 0, 21 and 60. Total 267 Enterobacteriaceae were isolated and E.coli was the predominant flora. ESBL, AmpC and coproduction was seen in 20.6%, 19.9% and 11.2% isolates respectively. ESBL carriage increased threefold from day 1 to 60 showing predominance of CTX-M group 15 (82.5%), ampC genes were heterogeneous. Colonization with CRE was rare, only one baby harboured Enterobacter sp positive for kpc-2. The reservoirs for these genes are likely to be mother and the environment. CONCLUSIONS: Data strongly suggests that in absence of any antibiotic pressure there is tremendous load of antibiotic resistance to \u03b2-lactam drugs. Wide spread presence of ESBL and AmpC can drive rapid emergence and dissemination of CRE. This is the first report from India which depicts the smaller picture of true antibiotic pressure present in the Indian community.", "author" : [ { "dropping-particle" : "", "family" : "Kothari", "given" : "Charu", "non-dropping-particle" : "", "parse-names" : false, "suffix" : "" }, { "dropping-particle" : "", "family" : "Gaind", "given" : "Rajni", "non-dropping-particle" : "", "parse-names" : false, "suffix" : "" }, { "dropping-particle" : "", "family" : "Singh", "given" : "Laishram Chandreshwor", "non-dropping-particle" : "", "parse-names" : false, "suffix" : "" }, { "dropping-particle" : "", "family" : "Sinha", "given" : "Anju", "non-dropping-particle" : "", "parse-names" : false, "suffix" : "" }, { "dropping-particle" : "", "family" : "Kumari", "given" : "Vidya", "non-dropping-particle" : "", "parse-names" : false, "suffix" : "" }, { "dropping-particle" : "", "family" : "Arya", "given" : "Sugandha", "non-dropping-particle" : "", "parse-names" : false, "suffix" : "" }, { "dropping-particle" : "", "family" : "Chellani", "given" : "Harish", "non-dropping-particle" : "", "parse-names" : false, "suffix" : "" }, { "dropping-particle" : "", "family" : "Saxena", "given" : "Sunita", "non-dropping-particle" : "", "parse-names" : false, "suffix" : "" }, { "dropping-particle" : "", "family" : "Deb", "given" : "Monorama", "non-dropping-particle" : "", "parse-names" : false, "suffix" : "" } ], "container-title" : "BMC Microbiology", "id" : "ITEM-1", "issue" : "1", "issued" : { "date-parts" : [ [ "2013", "1" ] ] }, "page" : "136", "publisher" : "BMC Microbiology", "title" : "Community acquisition of \u03b2-lactamase producing Enterobacteriaceae in neonatal gut.", "type" : "article-journal", "volume" : "13" }, "uris" : [ "http://www.mendeley.com/documents/?uuid=9c2f55c1-ca29-468e-8aaf-f6cc0218513c" ] } ], "mendeley" : { "formattedCitation" : "&lt;sup&gt;14&lt;/sup&gt;", "plainTextFormattedCitation" : "14", "previouslyFormattedCitation" : "&lt;sup&gt;14&lt;/sup&gt;" }, "properties" : { "noteIndex" : 0 }, "schema" : "https://github.com/citation-style-language/schema/raw/master/csl-citation.json" }</w:instrText>
      </w:r>
      <w:r w:rsidRPr="000767AE">
        <w:rPr>
          <w:rFonts w:ascii="Arial" w:hAnsi="Arial" w:cs="Arial"/>
          <w:sz w:val="24"/>
          <w:szCs w:val="24"/>
          <w:lang w:val="en-US"/>
        </w:rPr>
        <w:fldChar w:fldCharType="separate"/>
      </w:r>
      <w:r w:rsidR="000767AE" w:rsidRPr="000767AE">
        <w:rPr>
          <w:rFonts w:ascii="Arial" w:hAnsi="Arial" w:cs="Arial"/>
          <w:noProof/>
          <w:sz w:val="24"/>
          <w:szCs w:val="24"/>
          <w:vertAlign w:val="superscript"/>
          <w:lang w:val="en-US"/>
        </w:rPr>
        <w:t>14</w:t>
      </w:r>
      <w:r w:rsidRPr="000767AE">
        <w:rPr>
          <w:rFonts w:ascii="Arial" w:hAnsi="Arial" w:cs="Arial"/>
          <w:sz w:val="24"/>
          <w:szCs w:val="24"/>
          <w:lang w:val="en-US"/>
        </w:rPr>
        <w:fldChar w:fldCharType="end"/>
      </w:r>
      <w:r w:rsidRPr="000767AE">
        <w:rPr>
          <w:rFonts w:ascii="Arial" w:hAnsi="Arial" w:cs="Arial"/>
          <w:sz w:val="24"/>
          <w:szCs w:val="24"/>
          <w:lang w:val="en-US"/>
        </w:rPr>
        <w:t xml:space="preserve"> </w:t>
      </w:r>
      <w:r w:rsidRPr="000767AE">
        <w:rPr>
          <w:rFonts w:ascii="Arial" w:hAnsi="Arial" w:cs="Arial"/>
          <w:sz w:val="24"/>
          <w:szCs w:val="24"/>
        </w:rPr>
        <w:t xml:space="preserve">The environment, drinking water, and food are probably the most important vehicles for establishing the normal gut microflora. </w:t>
      </w:r>
      <w:r w:rsidRPr="000767AE">
        <w:rPr>
          <w:rFonts w:ascii="Arial" w:hAnsi="Arial" w:cs="Arial"/>
          <w:sz w:val="24"/>
          <w:szCs w:val="24"/>
          <w:lang w:val="en-US"/>
        </w:rPr>
        <w:t>Antimicrobial resistant bacteria have been found in every environment examined to date including Antarctica, the sea, soil, drinking water,</w:t>
      </w:r>
      <w:r w:rsidR="009E7437" w:rsidRPr="000767AE">
        <w:rPr>
          <w:rFonts w:ascii="Arial" w:hAnsi="Arial" w:cs="Arial"/>
          <w:sz w:val="24"/>
          <w:szCs w:val="24"/>
          <w:lang w:val="en-US"/>
        </w:rPr>
        <w:fldChar w:fldCharType="begin" w:fldLock="1"/>
      </w:r>
      <w:r w:rsidR="00551CF0">
        <w:rPr>
          <w:rFonts w:ascii="Arial" w:hAnsi="Arial" w:cs="Arial"/>
          <w:sz w:val="24"/>
          <w:szCs w:val="24"/>
          <w:lang w:val="en-US"/>
        </w:rPr>
        <w:instrText>ADDIN CSL_CITATION { "citationItems" : [ { "id" : "ITEM-1", "itemData" : { "DOI" : "10.1016/S1473-3099(11)70059-7", "ISSN" : "1474-4457", "PMID" : "21478057", "abstract" : "BACKGROUND: Not all patients infected with NDM-1-positive bacteria have a history of hospital admission in India, and extended-spectrum \u03b2-lactamases are known to be circulating in the Indian community. We therefore measured the prevalence of the NDM-1 gene in drinking water and seepage samples in New Delhi. METHODS: Swabs absorbing about 100 \u03bcL of seepage water (ie, water pools in streets or rivulets) and 15 mL samples of public tap water were collected from sites within a 12 km radius of central New Delhi, with each site photographed and documented. Samples were transported to the UK and tested for the presence of the NDM-1 gene, bla(NDM-1), by PCR and DNA probing. As a control group, 100 \u03bcL sewage effluent samples were taken from the Cardiff Wastewater Treatment Works, Tremorfa, Wales. Bacteria from all samples were recovered and examined for bla(NDM-1) by PCR and sequencing. We identified NDM-1-positive isolates, undertook susceptibility testing, and, where appropriate, typed the isolates. We undertook Inc typing on bla(NDM-1)-positive plasmids. Transconjugants were created to assess plasmid transfer frequency and its relation to temperature. FINDINGS: From Sept 26 to Oct 10, 2010, 171 seepage samples and 50 tap water samples from New Delhi and 70 sewage effluent samples from Cardiff Wastewater Treatment Works were collected. We detected bla(NDM-1) in two of 50 drinking-water samples and 51 of 171 seepage samples from New Delhi; the gene was not found in any sample from Cardiff. Bacteria with bla(NDM-1) were grown from 12 of 171 seepage samples and two of 50 water samples, and included 11 species in which NDM-1 has not previously been reported, including Shigella boydii and Vibrio cholerae. Carriage by enterobacteria, aeromonads, and V cholera was stable, generally transmissible, and associated with resistance patterns typical for NDM-1; carriage by non-fermenters was unstable in many cases and not associated with typical resistance. 20 strains of bacteria were found in the samples, 12 of which carried bla(NDM-1) on plasmids, which ranged in size from 140 to 400 kb. Isolates of Aeromonas caviae and V cholerae carried bla(NDM-1) on chromosomes. Conjugative transfer was more common at 30\u00b0C than at 25\u00b0C or 37\u00b0C. INTERPRETATION: The presence of NDM-1 \u03b2-lactamase-producing bacteria in environmental samples in New Delhi has important implications for people living in the city who are reliant on public water and sanitation facilities. International surveill\u2026", "author" : [ { "dropping-particle" : "", "family" : "Walsh", "given" : "Timothy R", "non-dropping-particle" : "", "parse-names" : false, "suffix" : "" }, { "dropping-particle" : "", "family" : "Weeks", "given" : "Janis", "non-dropping-particle" : "", "parse-names" : false, "suffix" : "" }, { "dropping-particle" : "", "family" : "Livermore", "given" : "David M", "non-dropping-particle" : "", "parse-names" : false, "suffix" : "" }, { "dropping-particle" : "", "family" : "Toleman", "given" : "Mark A", "non-dropping-particle" : "", "parse-names" : false, "suffix" : "" } ], "container-title" : "Lancet Infectious Diseases", "id" : "ITEM-1", "issue" : "5", "issued" : { "date-parts" : [ [ "2011", "5" ] ] }, "page" : "355-62", "publisher" : "Elsevier Ltd", "title" : "Dissemination of NDM-1 positive bacteria in the New Delhi environment and its implications for human health: an environmental point prevalence study.", "type" : "article-journal", "volume" : "11" }, "uris" : [ "http://www.mendeley.com/documents/?uuid=f61619f4-a439-46ef-bb5d-494f1efb9f7a" ] } ], "mendeley" : { "formattedCitation" : "&lt;sup&gt;15&lt;/sup&gt;", "plainTextFormattedCitation" : "15", "previouslyFormattedCitation" : "&lt;sup&gt;15&lt;/sup&gt;" }, "properties" : { "noteIndex" : 0 }, "schema" : "https://github.com/citation-style-language/schema/raw/master/csl-citation.json" }</w:instrText>
      </w:r>
      <w:r w:rsidR="009E7437" w:rsidRPr="000767AE">
        <w:rPr>
          <w:rFonts w:ascii="Arial" w:hAnsi="Arial" w:cs="Arial"/>
          <w:sz w:val="24"/>
          <w:szCs w:val="24"/>
          <w:lang w:val="en-US"/>
        </w:rPr>
        <w:fldChar w:fldCharType="separate"/>
      </w:r>
      <w:r w:rsidR="000767AE" w:rsidRPr="000767AE">
        <w:rPr>
          <w:rFonts w:ascii="Arial" w:hAnsi="Arial" w:cs="Arial"/>
          <w:noProof/>
          <w:sz w:val="24"/>
          <w:szCs w:val="24"/>
          <w:vertAlign w:val="superscript"/>
          <w:lang w:val="en-US"/>
        </w:rPr>
        <w:t>15</w:t>
      </w:r>
      <w:r w:rsidR="009E7437" w:rsidRPr="000767AE">
        <w:rPr>
          <w:rFonts w:ascii="Arial" w:hAnsi="Arial" w:cs="Arial"/>
          <w:sz w:val="24"/>
          <w:szCs w:val="24"/>
          <w:lang w:val="en-US"/>
        </w:rPr>
        <w:fldChar w:fldCharType="end"/>
      </w:r>
      <w:r w:rsidRPr="000767AE">
        <w:rPr>
          <w:rFonts w:ascii="Arial" w:hAnsi="Arial" w:cs="Arial"/>
          <w:sz w:val="24"/>
          <w:szCs w:val="24"/>
          <w:lang w:val="en-US"/>
        </w:rPr>
        <w:t xml:space="preserve"> </w:t>
      </w:r>
      <w:r w:rsidR="000767AE" w:rsidRPr="00551CF0">
        <w:rPr>
          <w:rFonts w:ascii="Arial" w:hAnsi="Arial" w:cs="Arial"/>
          <w:sz w:val="24"/>
          <w:szCs w:val="24"/>
          <w:highlight w:val="yellow"/>
          <w:lang w:val="en-US"/>
        </w:rPr>
        <w:t xml:space="preserve">and various </w:t>
      </w:r>
      <w:r w:rsidRPr="00551CF0">
        <w:rPr>
          <w:rFonts w:ascii="Arial" w:hAnsi="Arial" w:cs="Arial"/>
          <w:sz w:val="24"/>
          <w:szCs w:val="24"/>
          <w:highlight w:val="yellow"/>
          <w:lang w:val="en-US"/>
        </w:rPr>
        <w:t>food products</w:t>
      </w:r>
      <w:r w:rsidR="0051062A" w:rsidRPr="00551CF0">
        <w:rPr>
          <w:rFonts w:ascii="Arial" w:hAnsi="Arial" w:cs="Arial"/>
          <w:sz w:val="24"/>
          <w:szCs w:val="24"/>
          <w:highlight w:val="yellow"/>
          <w:lang w:val="en-US"/>
        </w:rPr>
        <w:t>.</w:t>
      </w:r>
      <w:r w:rsidR="007D30EC" w:rsidRPr="00551CF0">
        <w:rPr>
          <w:rFonts w:ascii="Arial" w:hAnsi="Arial" w:cs="Arial"/>
          <w:sz w:val="24"/>
          <w:szCs w:val="24"/>
          <w:highlight w:val="yellow"/>
          <w:lang w:val="en-US"/>
        </w:rPr>
        <w:fldChar w:fldCharType="begin" w:fldLock="1"/>
      </w:r>
      <w:r w:rsidR="00551CF0" w:rsidRPr="00551CF0">
        <w:rPr>
          <w:rFonts w:ascii="Arial" w:hAnsi="Arial" w:cs="Arial"/>
          <w:sz w:val="24"/>
          <w:szCs w:val="24"/>
          <w:highlight w:val="yellow"/>
          <w:lang w:val="en-US"/>
        </w:rPr>
        <w:instrText>ADDIN CSL_CITATION { "citationItems" : [ { "id" : "ITEM-1", "itemData" : { "DOI" : "10.3201/eid2007.140534", "ISSN" : "1080-6059", "PMID" : "24960459", "author" : [ { "dropping-particle" : "", "family" : "Rubin", "given" : "Joseph E", "non-dropping-particle" : "", "parse-names" : false, "suffix" : "" }, { "dropping-particle" : "", "family" : "Ekanayake", "given" : "Samantha", "non-dropping-particle" : "", "parse-names" : false, "suffix" : "" }, { "dropping-particle" : "", "family" : "Fernando", "given" : "Champika", "non-dropping-particle" : "", "parse-names" : false, "suffix" : "" } ], "container-title" : "Emerging infectious diseases", "id" : "ITEM-1", "issue" : "7", "issued" : { "date-parts" : [ [ "2014", "7" ] ] }, "page" : "1264-5", "title" : "Carbapenemase-producing Organism in Food, 2014.", "type" : "article-journal", "volume" : "20" }, "uris" : [ "http://www.mendeley.com/documents/?uuid=dca6e979-bb7a-4d16-a699-1c08a2d5462e" ] } ], "mendeley" : { "formattedCitation" : "&lt;sup&gt;16&lt;/sup&gt;", "plainTextFormattedCitation" : "16", "previouslyFormattedCitation" : "&lt;sup&gt;16&lt;/sup&gt;" }, "properties" : { "noteIndex" : 0 }, "schema" : "https://github.com/citation-style-language/schema/raw/master/csl-citation.json" }</w:instrText>
      </w:r>
      <w:r w:rsidR="007D30EC" w:rsidRPr="00551CF0">
        <w:rPr>
          <w:rFonts w:ascii="Arial" w:hAnsi="Arial" w:cs="Arial"/>
          <w:sz w:val="24"/>
          <w:szCs w:val="24"/>
          <w:highlight w:val="yellow"/>
          <w:lang w:val="en-US"/>
        </w:rPr>
        <w:fldChar w:fldCharType="separate"/>
      </w:r>
      <w:r w:rsidR="000767AE" w:rsidRPr="00551CF0">
        <w:rPr>
          <w:rFonts w:ascii="Arial" w:hAnsi="Arial" w:cs="Arial"/>
          <w:noProof/>
          <w:sz w:val="24"/>
          <w:szCs w:val="24"/>
          <w:highlight w:val="yellow"/>
          <w:vertAlign w:val="superscript"/>
          <w:lang w:val="en-US"/>
        </w:rPr>
        <w:t>16</w:t>
      </w:r>
      <w:r w:rsidR="007D30EC" w:rsidRPr="00551CF0">
        <w:rPr>
          <w:rFonts w:ascii="Arial" w:hAnsi="Arial" w:cs="Arial"/>
          <w:sz w:val="24"/>
          <w:szCs w:val="24"/>
          <w:highlight w:val="yellow"/>
          <w:lang w:val="en-US"/>
        </w:rPr>
        <w:fldChar w:fldCharType="end"/>
      </w:r>
      <w:r w:rsidRPr="000767AE">
        <w:rPr>
          <w:rFonts w:ascii="Arial" w:hAnsi="Arial" w:cs="Arial"/>
          <w:sz w:val="24"/>
          <w:szCs w:val="24"/>
          <w:lang w:val="en-US"/>
        </w:rPr>
        <w:t xml:space="preserve"> This poly-microbial, variably antimicrobial resistant, commensal microbiome </w:t>
      </w:r>
      <w:r w:rsidRPr="000767AE">
        <w:rPr>
          <w:rFonts w:ascii="Arial" w:hAnsi="Arial"/>
          <w:sz w:val="24"/>
          <w:lang w:val="en-US"/>
        </w:rPr>
        <w:t xml:space="preserve">(micro-organisms that are currently not causing infection at that body site e.g. the gastrointestinal tract or skin) </w:t>
      </w:r>
      <w:r w:rsidRPr="000767AE">
        <w:rPr>
          <w:rFonts w:ascii="Arial" w:hAnsi="Arial" w:cs="Arial"/>
          <w:sz w:val="24"/>
          <w:szCs w:val="24"/>
          <w:lang w:val="en-US"/>
        </w:rPr>
        <w:t>is established at an early age.</w:t>
      </w:r>
    </w:p>
    <w:p w14:paraId="68F8B494" w14:textId="77777777" w:rsidR="00A053CE" w:rsidRPr="000767AE" w:rsidRDefault="00A053CE" w:rsidP="00A053CE">
      <w:pPr>
        <w:pStyle w:val="ListParagraph"/>
        <w:autoSpaceDE w:val="0"/>
        <w:autoSpaceDN w:val="0"/>
        <w:adjustRightInd w:val="0"/>
        <w:spacing w:after="0" w:line="240" w:lineRule="auto"/>
        <w:ind w:left="0"/>
        <w:rPr>
          <w:rFonts w:ascii="Arial" w:hAnsi="Arial" w:cs="Arial"/>
          <w:sz w:val="24"/>
          <w:szCs w:val="24"/>
        </w:rPr>
      </w:pPr>
    </w:p>
    <w:p w14:paraId="28347BF1" w14:textId="4EFBD6F9" w:rsidR="00A053CE" w:rsidRPr="000767AE" w:rsidRDefault="00A053CE" w:rsidP="00A053CE">
      <w:pPr>
        <w:rPr>
          <w:rFonts w:ascii="Arial" w:hAnsi="Arial" w:cs="Arial"/>
          <w:sz w:val="24"/>
          <w:szCs w:val="24"/>
          <w:lang w:val="en-US"/>
        </w:rPr>
      </w:pPr>
      <w:r w:rsidRPr="000767AE">
        <w:rPr>
          <w:rFonts w:ascii="Arial" w:hAnsi="Arial" w:cs="Arial"/>
          <w:sz w:val="24"/>
          <w:szCs w:val="24"/>
        </w:rPr>
        <w:t>In a pristine (i.e. ‘free from external antimicrobial selection pressure’) ecosystem, antimicrobial resistant and non-resistant species coexist in a stable balance.</w:t>
      </w:r>
      <w:r w:rsidRPr="000767AE">
        <w:rPr>
          <w:rFonts w:ascii="Arial" w:hAnsi="Arial" w:cs="Arial"/>
          <w:sz w:val="24"/>
          <w:szCs w:val="24"/>
        </w:rPr>
        <w:fldChar w:fldCharType="begin" w:fldLock="1"/>
      </w:r>
      <w:r w:rsidR="00551CF0">
        <w:rPr>
          <w:rFonts w:ascii="Arial" w:hAnsi="Arial" w:cs="Arial"/>
          <w:sz w:val="24"/>
          <w:szCs w:val="24"/>
        </w:rPr>
        <w:instrText>ADDIN CSL_CITATION { "citationItems" : [ { "id" : "ITEM-1", "itemData" : { "DOI" : "10.1016/j.envpol.2009.05.051", "ISSN" : "1873-6424", "PMID" : "19560847", "abstract" : "Antibiotics are among the most successful drugs used for human therapy. However, since they can challenge microbial populations, they must be considered as important pollutants as well. Besides being used for human therapy, antibiotics are extensively used for animal farming and for agricultural purposes. Residues from human environments and from farms may contain antibiotics and antibiotic resistance genes that can contaminate natural environments. The clearest consequence of antibiotic release in natural environments is the selection of resistant bacteria. The same resistance genes found at clinical settings are currently disseminated among pristine ecosystems without any record of antibiotic contamination. Nevertheless, the effect of antibiotics on the biosphere is wider than this and can impact the structure and activity of environmental microbiota. Along the article, we review the impact that pollution by antibiotics or by antibiotic resistance genes may have for both human health and for the evolution of environmental microbial populations.", "author" : [ { "dropping-particle" : "", "family" : "Martinez", "given" : "Jose Luis", "non-dropping-particle" : "", "parse-names" : false, "suffix" : "" } ], "container-title" : "Environmental Pollution", "id" : "ITEM-1", "issue" : "11", "issued" : { "date-parts" : [ [ "2009", "11" ] ] }, "page" : "2893-902", "publisher" : "Elsevier Ltd", "title" : "Environmental pollution by antibiotics and by antibiotic resistance determinants.", "type" : "article-journal", "volume" : "157" }, "uris" : [ "http://www.mendeley.com/documents/?uuid=1ecf83f0-7bee-4e2d-93bf-09acb8ca822c" ] } ], "mendeley" : { "formattedCitation" : "&lt;sup&gt;17&lt;/sup&gt;", "plainTextFormattedCitation" : "17", "previouslyFormattedCitation" : "&lt;sup&gt;17&lt;/sup&gt;" }, "properties" : { "noteIndex" : 0 }, "schema" : "https://github.com/citation-style-language/schema/raw/master/csl-citation.json" }</w:instrText>
      </w:r>
      <w:r w:rsidRPr="000767AE">
        <w:rPr>
          <w:rFonts w:ascii="Arial" w:hAnsi="Arial" w:cs="Arial"/>
          <w:sz w:val="24"/>
          <w:szCs w:val="24"/>
        </w:rPr>
        <w:fldChar w:fldCharType="separate"/>
      </w:r>
      <w:r w:rsidR="000767AE" w:rsidRPr="000767AE">
        <w:rPr>
          <w:rFonts w:ascii="Arial" w:hAnsi="Arial" w:cs="Arial"/>
          <w:noProof/>
          <w:sz w:val="24"/>
          <w:szCs w:val="24"/>
          <w:vertAlign w:val="superscript"/>
        </w:rPr>
        <w:t>17</w:t>
      </w:r>
      <w:r w:rsidRPr="000767AE">
        <w:rPr>
          <w:rFonts w:ascii="Arial" w:hAnsi="Arial" w:cs="Arial"/>
          <w:sz w:val="24"/>
          <w:szCs w:val="24"/>
        </w:rPr>
        <w:fldChar w:fldCharType="end"/>
      </w:r>
      <w:r w:rsidRPr="000767AE">
        <w:rPr>
          <w:rFonts w:ascii="Arial" w:hAnsi="Arial" w:cs="Arial"/>
          <w:sz w:val="24"/>
          <w:szCs w:val="24"/>
        </w:rPr>
        <w:t xml:space="preserve"> The human microbiota is no exception, and commensal micro-organism populations in humans include species that are naturally resistant to </w:t>
      </w:r>
      <w:r w:rsidR="00A207F8" w:rsidRPr="000767AE">
        <w:rPr>
          <w:rFonts w:ascii="Arial" w:hAnsi="Arial" w:cs="Arial"/>
          <w:sz w:val="24"/>
          <w:szCs w:val="24"/>
        </w:rPr>
        <w:t xml:space="preserve">some </w:t>
      </w:r>
      <w:r w:rsidRPr="000767AE">
        <w:rPr>
          <w:rFonts w:ascii="Arial" w:hAnsi="Arial" w:cs="Arial"/>
          <w:sz w:val="24"/>
          <w:szCs w:val="24"/>
        </w:rPr>
        <w:t xml:space="preserve">antimicrobials. Selective pressure is exerted by any condition (e.g. antimicrobial exposure) that allows microorganisms with inherent </w:t>
      </w:r>
      <w:r w:rsidR="00A207F8" w:rsidRPr="000767AE">
        <w:rPr>
          <w:rFonts w:ascii="Arial" w:hAnsi="Arial" w:cs="Arial"/>
          <w:sz w:val="24"/>
          <w:szCs w:val="24"/>
        </w:rPr>
        <w:t>resistance</w:t>
      </w:r>
      <w:r w:rsidRPr="000767AE">
        <w:rPr>
          <w:rFonts w:ascii="Arial" w:hAnsi="Arial" w:cs="Arial"/>
          <w:sz w:val="24"/>
          <w:szCs w:val="24"/>
        </w:rPr>
        <w:t xml:space="preserve"> or newly acquired </w:t>
      </w:r>
      <w:r w:rsidR="00A207F8" w:rsidRPr="000767AE">
        <w:rPr>
          <w:rFonts w:ascii="Arial" w:hAnsi="Arial" w:cs="Arial"/>
          <w:sz w:val="24"/>
          <w:szCs w:val="24"/>
        </w:rPr>
        <w:t>mutations or resistance genes</w:t>
      </w:r>
      <w:r w:rsidRPr="000767AE">
        <w:rPr>
          <w:rFonts w:ascii="Arial" w:hAnsi="Arial" w:cs="Arial"/>
          <w:sz w:val="24"/>
          <w:szCs w:val="24"/>
        </w:rPr>
        <w:t xml:space="preserve"> to survive and proliferate.</w:t>
      </w:r>
      <w:r w:rsidR="009E7437" w:rsidRPr="000767AE">
        <w:rPr>
          <w:rFonts w:ascii="Arial" w:hAnsi="Arial" w:cs="Arial"/>
          <w:sz w:val="24"/>
          <w:szCs w:val="24"/>
        </w:rPr>
        <w:fldChar w:fldCharType="begin" w:fldLock="1"/>
      </w:r>
      <w:r w:rsidR="0081077D" w:rsidRPr="000767AE">
        <w:rPr>
          <w:rFonts w:ascii="Arial" w:hAnsi="Arial" w:cs="Arial"/>
          <w:sz w:val="24"/>
          <w:szCs w:val="24"/>
        </w:rPr>
        <w:instrText>ADDIN CSL_CITATION { "citationItems" : [ { "id" : "ITEM-1", "itemData" : { "DOI" : "10.1111/j.1462-2920.2009.01972.x", "ISSN" : "1462-2920", "PMID" : "19601960", "abstract" : "Antibiotic-resistant pathogens are profoundly important to human health, but the environmental reservoirs of resistance determinants are poorly understood. The origins of antibiotic resistance in the environment is relevant to human health because of the increasing importance of zoonotic diseases as well as the need for predicting emerging resistant pathogens. This Review explores the presence and spread of antibiotic resistance in non-agricultural, non-clinical environments and demonstrates the need for more intensive investigation on this subject.", "author" : [ { "dropping-particle" : "", "family" : "Aminov", "given" : "Rustam I", "non-dropping-particle" : "", "parse-names" : false, "suffix" : "" } ], "container-title" : "Environmental Microbiology", "id" : "ITEM-1", "issue" : "12", "issued" : { "date-parts" : [ [ "2009", "12" ] ] }, "page" : "2970-88", "title" : "The role of antibiotics and antibiotic resistance in nature.", "type" : "article-journal", "volume" : "11" }, "uris" : [ "http://www.mendeley.com/documents/?uuid=da2f6176-369d-413a-a3a7-5309c6e6b622" ] } ], "mendeley" : { "formattedCitation" : "&lt;sup&gt;6&lt;/sup&gt;", "plainTextFormattedCitation" : "6", "previouslyFormattedCitation" : "&lt;sup&gt;6&lt;/sup&gt;" }, "properties" : { "noteIndex" : 0 }, "schema" : "https://github.com/citation-style-language/schema/raw/master/csl-citation.json" }</w:instrText>
      </w:r>
      <w:r w:rsidR="009E7437" w:rsidRPr="000767AE">
        <w:rPr>
          <w:rFonts w:ascii="Arial" w:hAnsi="Arial" w:cs="Arial"/>
          <w:sz w:val="24"/>
          <w:szCs w:val="24"/>
        </w:rPr>
        <w:fldChar w:fldCharType="separate"/>
      </w:r>
      <w:r w:rsidR="0081077D" w:rsidRPr="000767AE">
        <w:rPr>
          <w:rFonts w:ascii="Arial" w:hAnsi="Arial" w:cs="Arial"/>
          <w:noProof/>
          <w:sz w:val="24"/>
          <w:szCs w:val="24"/>
          <w:vertAlign w:val="superscript"/>
        </w:rPr>
        <w:t>6</w:t>
      </w:r>
      <w:r w:rsidR="009E7437" w:rsidRPr="000767AE">
        <w:rPr>
          <w:rFonts w:ascii="Arial" w:hAnsi="Arial" w:cs="Arial"/>
          <w:sz w:val="24"/>
          <w:szCs w:val="24"/>
        </w:rPr>
        <w:fldChar w:fldCharType="end"/>
      </w:r>
      <w:r w:rsidRPr="000767AE">
        <w:rPr>
          <w:rFonts w:ascii="Arial" w:hAnsi="Arial" w:cs="Arial"/>
          <w:sz w:val="24"/>
          <w:szCs w:val="24"/>
        </w:rPr>
        <w:t xml:space="preserve"> Antimicrobial use exerts such selective pressure on commensal human microflora, </w:t>
      </w:r>
      <w:r w:rsidR="00AE3053" w:rsidRPr="000767AE">
        <w:rPr>
          <w:rFonts w:ascii="Arial" w:hAnsi="Arial" w:cs="Arial"/>
          <w:sz w:val="24"/>
          <w:szCs w:val="24"/>
        </w:rPr>
        <w:t>and</w:t>
      </w:r>
      <w:r w:rsidRPr="000767AE">
        <w:rPr>
          <w:rFonts w:ascii="Arial" w:hAnsi="Arial" w:cs="Arial"/>
          <w:sz w:val="24"/>
          <w:szCs w:val="24"/>
        </w:rPr>
        <w:t xml:space="preserve"> pathogens</w:t>
      </w:r>
      <w:r w:rsidR="00AE3053" w:rsidRPr="000767AE">
        <w:rPr>
          <w:rFonts w:ascii="Arial" w:hAnsi="Arial" w:cs="Arial"/>
          <w:sz w:val="24"/>
          <w:szCs w:val="24"/>
        </w:rPr>
        <w:t>, increasing the risk of recovery of resistant organisms from patients</w:t>
      </w:r>
      <w:r w:rsidR="009E0BAE" w:rsidRPr="009E0BAE">
        <w:rPr>
          <w:rFonts w:ascii="Arial" w:hAnsi="Arial" w:cs="Arial"/>
          <w:sz w:val="24"/>
          <w:szCs w:val="24"/>
          <w:highlight w:val="yellow"/>
        </w:rPr>
        <w:t>.</w:t>
      </w:r>
      <w:r w:rsidR="009E0BAE" w:rsidRPr="009E0BAE">
        <w:rPr>
          <w:rFonts w:ascii="Arial" w:hAnsi="Arial" w:cs="Arial"/>
          <w:sz w:val="24"/>
          <w:szCs w:val="24"/>
          <w:highlight w:val="yellow"/>
        </w:rPr>
        <w:fldChar w:fldCharType="begin" w:fldLock="1"/>
      </w:r>
      <w:r w:rsidR="009E0BAE" w:rsidRPr="009E0BAE">
        <w:rPr>
          <w:rFonts w:ascii="Arial" w:hAnsi="Arial" w:cs="Arial"/>
          <w:sz w:val="24"/>
          <w:szCs w:val="24"/>
          <w:highlight w:val="yellow"/>
        </w:rPr>
        <w:instrText>ADDIN CSL_CITATION { "citationItems" : [ { "id" : "ITEM-1", "itemData" : { "DOI" : "10.1186/1471-2334-14-13", "ISSN" : "1471-2334", "author" : [ { "dropping-particle" : "", "family" : "Bell", "given" : "Brian G", "non-dropping-particle" : "", "parse-names" : false, "suffix" : "" }, { "dropping-particle" : "", "family" : "Schellevis", "given" : "Francois", "non-dropping-particle" : "", "parse-names" : false, "suffix" : "" }, { "dropping-particle" : "", "family" : "Stobberingh", "given" : "Ellen", "non-dropping-particle" : "", "parse-names" : false, "suffix" : "" }, { "dropping-particle" : "", "family" : "Goossens", "given" : "Herman", "non-dropping-particle" : "", "parse-names" : false, "suffix" : "" }, { "dropping-particle" : "", "family" : "Pringle", "given" : "Mike", "non-dropping-particle" : "", "parse-names" : false, "suffix" : "" } ], "container-title" : "BMC Infectious Diseases", "id" : "ITEM-1", "issued" : { "date-parts" : [ [ "2014" ] ] }, "page" : "13", "title" : "A systematic review and meta-analysis of the effects of antibiotic consumption on antibiotic resistance", "type" : "article-journal", "volume" : "14" }, "uris" : [ "http://www.mendeley.com/documents/?uuid=9e244b45-6650-4634-b28d-7136d2449cf9" ] } ], "mendeley" : { "formattedCitation" : "&lt;sup&gt;12&lt;/sup&gt;", "plainTextFormattedCitation" : "12", "previouslyFormattedCitation" : "&lt;sup&gt;12&lt;/sup&gt;" }, "properties" : { "noteIndex" : 0 }, "schema" : "https://github.com/citation-style-language/schema/raw/master/csl-citation.json" }</w:instrText>
      </w:r>
      <w:r w:rsidR="009E0BAE" w:rsidRPr="009E0BAE">
        <w:rPr>
          <w:rFonts w:ascii="Arial" w:hAnsi="Arial" w:cs="Arial"/>
          <w:sz w:val="24"/>
          <w:szCs w:val="24"/>
          <w:highlight w:val="yellow"/>
        </w:rPr>
        <w:fldChar w:fldCharType="separate"/>
      </w:r>
      <w:r w:rsidR="009E0BAE" w:rsidRPr="009E0BAE">
        <w:rPr>
          <w:rFonts w:ascii="Arial" w:hAnsi="Arial" w:cs="Arial"/>
          <w:noProof/>
          <w:sz w:val="24"/>
          <w:szCs w:val="24"/>
          <w:highlight w:val="yellow"/>
          <w:vertAlign w:val="superscript"/>
        </w:rPr>
        <w:t>12</w:t>
      </w:r>
      <w:r w:rsidR="009E0BAE" w:rsidRPr="009E0BAE">
        <w:rPr>
          <w:rFonts w:ascii="Arial" w:hAnsi="Arial" w:cs="Arial"/>
          <w:sz w:val="24"/>
          <w:szCs w:val="24"/>
          <w:highlight w:val="yellow"/>
        </w:rPr>
        <w:fldChar w:fldCharType="end"/>
      </w:r>
      <w:r w:rsidRPr="000767AE">
        <w:rPr>
          <w:rFonts w:ascii="Arial" w:hAnsi="Arial" w:cs="Arial"/>
          <w:sz w:val="24"/>
          <w:szCs w:val="24"/>
        </w:rPr>
        <w:t xml:space="preserve"> </w:t>
      </w:r>
    </w:p>
    <w:p w14:paraId="00838ECB" w14:textId="77777777" w:rsidR="00A053CE" w:rsidRPr="000767AE" w:rsidRDefault="00A053CE" w:rsidP="00A053CE">
      <w:pPr>
        <w:pStyle w:val="ListParagraph"/>
        <w:autoSpaceDE w:val="0"/>
        <w:autoSpaceDN w:val="0"/>
        <w:adjustRightInd w:val="0"/>
        <w:spacing w:after="0" w:line="240" w:lineRule="auto"/>
        <w:ind w:left="0"/>
        <w:rPr>
          <w:rFonts w:ascii="Arial" w:hAnsi="Arial" w:cs="Arial"/>
          <w:sz w:val="24"/>
          <w:szCs w:val="24"/>
        </w:rPr>
      </w:pPr>
    </w:p>
    <w:p w14:paraId="5209A4BD" w14:textId="0177ED74" w:rsidR="00A053CE" w:rsidRPr="000767AE" w:rsidRDefault="00A053CE" w:rsidP="00A053CE">
      <w:pPr>
        <w:widowControl w:val="0"/>
        <w:autoSpaceDE w:val="0"/>
        <w:autoSpaceDN w:val="0"/>
        <w:adjustRightInd w:val="0"/>
        <w:rPr>
          <w:rFonts w:ascii="Arial" w:hAnsi="Arial" w:cs="Arial"/>
          <w:sz w:val="24"/>
          <w:szCs w:val="24"/>
        </w:rPr>
      </w:pPr>
      <w:r w:rsidRPr="000767AE">
        <w:rPr>
          <w:rFonts w:ascii="Arial" w:hAnsi="Arial" w:cs="Arial"/>
          <w:sz w:val="24"/>
          <w:szCs w:val="24"/>
        </w:rPr>
        <w:t xml:space="preserve">Use of antimicrobials in clinical medicine </w:t>
      </w:r>
      <w:bookmarkStart w:id="4" w:name="_GoBack"/>
      <w:bookmarkEnd w:id="4"/>
      <w:r w:rsidRPr="000767AE">
        <w:rPr>
          <w:rFonts w:ascii="Arial" w:hAnsi="Arial" w:cs="Arial"/>
          <w:sz w:val="24"/>
          <w:szCs w:val="24"/>
        </w:rPr>
        <w:t xml:space="preserve">has exposed the human microbiota to unprecedented high concentrations of these agents. </w:t>
      </w:r>
      <w:r w:rsidRPr="000767AE">
        <w:rPr>
          <w:rFonts w:ascii="Arial" w:hAnsi="Arial" w:cs="Arial"/>
          <w:i/>
          <w:sz w:val="24"/>
          <w:szCs w:val="24"/>
        </w:rPr>
        <w:t>In vivo</w:t>
      </w:r>
      <w:r w:rsidRPr="000767AE">
        <w:rPr>
          <w:rFonts w:ascii="Arial" w:hAnsi="Arial" w:cs="Arial"/>
          <w:sz w:val="24"/>
          <w:szCs w:val="24"/>
        </w:rPr>
        <w:t xml:space="preserve"> development of </w:t>
      </w:r>
      <w:r w:rsidRPr="000767AE">
        <w:rPr>
          <w:rFonts w:ascii="Arial" w:hAnsi="Arial" w:cs="Arial"/>
          <w:i/>
          <w:sz w:val="24"/>
          <w:szCs w:val="24"/>
        </w:rPr>
        <w:t>de novo</w:t>
      </w:r>
      <w:r w:rsidRPr="000767AE">
        <w:rPr>
          <w:rFonts w:ascii="Arial" w:hAnsi="Arial" w:cs="Arial"/>
          <w:sz w:val="24"/>
          <w:szCs w:val="24"/>
        </w:rPr>
        <w:t xml:space="preserve"> resistance </w:t>
      </w:r>
      <w:r w:rsidR="00D87536" w:rsidRPr="000767AE">
        <w:rPr>
          <w:rFonts w:ascii="Arial" w:hAnsi="Arial" w:cs="Arial"/>
          <w:sz w:val="24"/>
          <w:szCs w:val="24"/>
        </w:rPr>
        <w:t>with</w:t>
      </w:r>
      <w:r w:rsidRPr="000767AE">
        <w:rPr>
          <w:rFonts w:ascii="Arial" w:hAnsi="Arial" w:cs="Arial"/>
          <w:sz w:val="24"/>
          <w:szCs w:val="24"/>
        </w:rPr>
        <w:t xml:space="preserve">in a human individual has been observed </w:t>
      </w:r>
      <w:r w:rsidR="00551CF0" w:rsidRPr="00551CF0">
        <w:rPr>
          <w:rFonts w:ascii="Arial" w:hAnsi="Arial" w:cs="Arial"/>
          <w:sz w:val="24"/>
          <w:szCs w:val="24"/>
          <w:highlight w:val="yellow"/>
        </w:rPr>
        <w:t>during</w:t>
      </w:r>
      <w:r w:rsidR="005551C8" w:rsidRPr="00551CF0">
        <w:rPr>
          <w:rFonts w:ascii="Arial" w:hAnsi="Arial" w:cs="Arial"/>
          <w:sz w:val="24"/>
          <w:szCs w:val="24"/>
          <w:highlight w:val="yellow"/>
        </w:rPr>
        <w:t xml:space="preserve"> treatment </w:t>
      </w:r>
      <w:r w:rsidR="00551CF0" w:rsidRPr="00551CF0">
        <w:rPr>
          <w:rFonts w:ascii="Arial" w:hAnsi="Arial" w:cs="Arial"/>
          <w:sz w:val="24"/>
          <w:szCs w:val="24"/>
          <w:highlight w:val="yellow"/>
        </w:rPr>
        <w:t xml:space="preserve">courses </w:t>
      </w:r>
      <w:r w:rsidR="00367C57" w:rsidRPr="00551CF0">
        <w:rPr>
          <w:rFonts w:ascii="Arial" w:hAnsi="Arial" w:cs="Arial"/>
          <w:sz w:val="24"/>
          <w:szCs w:val="24"/>
          <w:highlight w:val="yellow"/>
        </w:rPr>
        <w:t>with</w:t>
      </w:r>
      <w:r w:rsidRPr="00551CF0">
        <w:rPr>
          <w:rFonts w:ascii="Arial" w:hAnsi="Arial" w:cs="Arial"/>
          <w:sz w:val="24"/>
          <w:szCs w:val="24"/>
          <w:highlight w:val="yellow"/>
        </w:rPr>
        <w:t xml:space="preserve"> </w:t>
      </w:r>
      <w:r w:rsidR="00551CF0" w:rsidRPr="00551CF0">
        <w:rPr>
          <w:rFonts w:ascii="Arial" w:hAnsi="Arial" w:cs="Arial"/>
          <w:sz w:val="24"/>
          <w:szCs w:val="24"/>
          <w:highlight w:val="yellow"/>
        </w:rPr>
        <w:t>a range of antimicrobials including</w:t>
      </w:r>
      <w:r w:rsidR="00551CF0">
        <w:rPr>
          <w:rFonts w:ascii="Arial" w:hAnsi="Arial" w:cs="Arial"/>
          <w:sz w:val="24"/>
          <w:szCs w:val="24"/>
          <w:highlight w:val="yellow"/>
        </w:rPr>
        <w:t xml:space="preserve">, worryingly, </w:t>
      </w:r>
      <w:r w:rsidRPr="00551CF0">
        <w:rPr>
          <w:rFonts w:ascii="Arial" w:hAnsi="Arial" w:cs="Arial"/>
          <w:sz w:val="24"/>
          <w:szCs w:val="24"/>
          <w:highlight w:val="yellow"/>
        </w:rPr>
        <w:t>carbapenems.</w:t>
      </w:r>
      <w:r w:rsidRPr="00551CF0">
        <w:rPr>
          <w:rFonts w:ascii="Arial" w:hAnsi="Arial" w:cs="Arial"/>
          <w:sz w:val="24"/>
          <w:szCs w:val="24"/>
          <w:highlight w:val="yellow"/>
        </w:rPr>
        <w:fldChar w:fldCharType="begin" w:fldLock="1"/>
      </w:r>
      <w:r w:rsidR="009E0BAE">
        <w:rPr>
          <w:rFonts w:ascii="Arial" w:hAnsi="Arial" w:cs="Arial"/>
          <w:sz w:val="24"/>
          <w:szCs w:val="24"/>
          <w:highlight w:val="yellow"/>
        </w:rPr>
        <w:instrText>ADDIN CSL_CITATION { "citationItems" : [ { "id" : "ITEM-1", "itemData" : { "DOI" : "10.1086/503264", "ISSN" : "1537-6591", "PMID" : "16652304", "abstract" : "Four sequential extended-spectrum beta -lactamase-producing isolates of Klebsiella pneumoniae were obtained from a patient after treatment with ertapenem and cultured. The first and fourth isolates were susceptible to ertapenem, whereas the second and third were resistant. All 4 isolates belonged to the same strain and produced a group 1 CTX-M enzyme; additionally, the resistant isolates had lost a porin.", "author" : [ { "dropping-particle" : "", "family" : "Elliott", "given" : "Eugenne", "non-dropping-particle" : "", "parse-names" : false, "suffix" : "" }, { "dropping-particle" : "", "family" : "Brink", "given" : "Adrian J", "non-dropping-particle" : "", "parse-names" : false, "suffix" : "" }, { "dropping-particle" : "", "family" : "Greune", "given" : "Johan", "non-dropping-particle" : "van", "parse-names" : false, "suffix" : "" }, { "dropping-particle" : "", "family" : "Els", "given" : "Zia", "non-dropping-particle" : "", "parse-names" : false, "suffix" : "" }, { "dropping-particle" : "", "family" : "Woodford", "given" : "Neil", "non-dropping-particle" : "", "parse-names" : false, "suffix" : "" }, { "dropping-particle" : "", "family" : "Turton", "given" : "Jane", "non-dropping-particle" : "", "parse-names" : false, "suffix" : "" }, { "dropping-particle" : "", "family" : "Warner", "given" : "Marina", "non-dropping-particle" : "", "parse-names" : false, "suffix" : "" }, { "dropping-particle" : "", "family" : "Livermore", "given" : "David M", "non-dropping-particle" : "", "parse-names" : false, "suffix" : "" } ], "container-title" : "Clinical Infectious Diseases", "id" : "ITEM-1", "issue" : "11", "issued" : { "date-parts" : [ [ "2006", "6", "1" ] ] }, "page" : "e95-8", "title" : "In vivo development of ertapenem resistance in a patient with pneumonia caused by Klebsiella pneumoniae with an extended-spectrum beta-lactamase.", "type" : "article-journal", "volume" : "42" }, "uris" : [ "http://www.mendeley.com/documents/?uuid=3605d342-2183-4d6b-bba3-c08405e3fcfb" ] } ], "mendeley" : { "formattedCitation" : "&lt;sup&gt;18&lt;/sup&gt;", "plainTextFormattedCitation" : "18", "previouslyFormattedCitation" : "&lt;sup&gt;19&lt;/sup&gt;" }, "properties" : { "noteIndex" : 0 }, "schema" : "https://github.com/citation-style-language/schema/raw/master/csl-citation.json" }</w:instrText>
      </w:r>
      <w:r w:rsidRPr="00551CF0">
        <w:rPr>
          <w:rFonts w:ascii="Arial" w:hAnsi="Arial" w:cs="Arial"/>
          <w:sz w:val="24"/>
          <w:szCs w:val="24"/>
          <w:highlight w:val="yellow"/>
        </w:rPr>
        <w:fldChar w:fldCharType="separate"/>
      </w:r>
      <w:r w:rsidR="009E0BAE" w:rsidRPr="009E0BAE">
        <w:rPr>
          <w:rFonts w:ascii="Arial" w:hAnsi="Arial" w:cs="Arial"/>
          <w:noProof/>
          <w:sz w:val="24"/>
          <w:szCs w:val="24"/>
          <w:highlight w:val="yellow"/>
          <w:vertAlign w:val="superscript"/>
        </w:rPr>
        <w:t>18</w:t>
      </w:r>
      <w:r w:rsidRPr="00551CF0">
        <w:rPr>
          <w:rFonts w:ascii="Arial" w:hAnsi="Arial" w:cs="Arial"/>
          <w:sz w:val="24"/>
          <w:szCs w:val="24"/>
          <w:highlight w:val="yellow"/>
        </w:rPr>
        <w:fldChar w:fldCharType="end"/>
      </w:r>
      <w:r w:rsidRPr="000767AE">
        <w:rPr>
          <w:rFonts w:ascii="Arial" w:hAnsi="Arial" w:cs="Arial"/>
          <w:sz w:val="24"/>
          <w:szCs w:val="24"/>
        </w:rPr>
        <w:t xml:space="preserve"> </w:t>
      </w:r>
      <w:r w:rsidRPr="000767AE">
        <w:rPr>
          <w:rFonts w:ascii="Arial" w:hAnsi="Arial" w:cs="Arial"/>
          <w:sz w:val="24"/>
          <w:szCs w:val="24"/>
          <w:lang w:val="en-US"/>
        </w:rPr>
        <w:t>In some patients, such as those with cystic fibrosis, there are increased rates of mutation in the infecting bacte</w:t>
      </w:r>
      <w:r w:rsidR="00F807BE" w:rsidRPr="000767AE">
        <w:rPr>
          <w:rFonts w:ascii="Arial" w:hAnsi="Arial" w:cs="Arial"/>
          <w:sz w:val="24"/>
          <w:szCs w:val="24"/>
          <w:lang w:val="en-US"/>
        </w:rPr>
        <w:t>ria i.e. they are hypermutable. S</w:t>
      </w:r>
      <w:r w:rsidRPr="000767AE">
        <w:rPr>
          <w:rFonts w:ascii="Arial" w:hAnsi="Arial" w:cs="Arial"/>
          <w:sz w:val="24"/>
          <w:szCs w:val="24"/>
          <w:lang w:val="en-US"/>
        </w:rPr>
        <w:t>ome antimicrobials exacerbate</w:t>
      </w:r>
      <w:r w:rsidR="00F807BE" w:rsidRPr="000767AE">
        <w:rPr>
          <w:rFonts w:ascii="Arial" w:hAnsi="Arial" w:cs="Arial"/>
          <w:sz w:val="24"/>
          <w:szCs w:val="24"/>
          <w:lang w:val="en-US"/>
        </w:rPr>
        <w:t xml:space="preserve"> this hypermutability</w:t>
      </w:r>
      <w:r w:rsidRPr="000767AE">
        <w:rPr>
          <w:rFonts w:ascii="Arial" w:hAnsi="Arial" w:cs="Arial"/>
          <w:sz w:val="24"/>
          <w:szCs w:val="24"/>
          <w:lang w:val="en-US"/>
        </w:rPr>
        <w:t>, promot</w:t>
      </w:r>
      <w:r w:rsidR="00883E6F" w:rsidRPr="000767AE">
        <w:rPr>
          <w:rFonts w:ascii="Arial" w:hAnsi="Arial" w:cs="Arial"/>
          <w:sz w:val="24"/>
          <w:szCs w:val="24"/>
          <w:lang w:val="en-US"/>
        </w:rPr>
        <w:t>ing</w:t>
      </w:r>
      <w:r w:rsidRPr="000767AE">
        <w:rPr>
          <w:rFonts w:ascii="Arial" w:hAnsi="Arial" w:cs="Arial"/>
          <w:sz w:val="24"/>
          <w:szCs w:val="24"/>
          <w:lang w:val="en-US"/>
        </w:rPr>
        <w:t xml:space="preserve"> select</w:t>
      </w:r>
      <w:r w:rsidR="00883E6F" w:rsidRPr="000767AE">
        <w:rPr>
          <w:rFonts w:ascii="Arial" w:hAnsi="Arial" w:cs="Arial"/>
          <w:sz w:val="24"/>
          <w:szCs w:val="24"/>
          <w:lang w:val="en-US"/>
        </w:rPr>
        <w:t>ion of</w:t>
      </w:r>
      <w:r w:rsidRPr="000767AE">
        <w:rPr>
          <w:rFonts w:ascii="Arial" w:hAnsi="Arial" w:cs="Arial"/>
          <w:sz w:val="24"/>
          <w:szCs w:val="24"/>
          <w:lang w:val="en-US"/>
        </w:rPr>
        <w:t xml:space="preserve"> resistance.</w:t>
      </w:r>
      <w:r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"ISSN" : "1389-4501", "PMID" : "12102604", "abstract" : "Antibiotic resistance appearance and spread have been classically considered the result of a process of natural selection, directed by the use of antibiotics. Bacteria, that have to face the antibiotic challenge, evolve to acquire resistance and, under this strong selective pressure, only the fittest survive, leading to the spread of resistance mechanisms and resistant clones. Horizontal transference of resistance mechanisms seems to be the main way of antibiotic resistance acquisition. Nevertheless, recent findings on hypermutability and antibiotic-induced hypermutation in bacteria have modified the landscape. Here, we present a review of the last data on molecular mechanisms of hypermutability in bacteria and their relationship with the acquisition of antibiotic resistance. Finally, we discuss the possibility that antibiotics may act not only as selectors for antibiotic resistant bacteria but also as resistance promoters.", "author" : [ { "dropping-particle" : "", "family" : "Bl\u00e1zquez", "given" : "Jesus", "non-dropping-particle" : "", "parse-names" : false, "suffix" : "" }, { "dropping-particle" : "", "family" : "Oliver", "given" : "Antonio", "non-dropping-particle" : "", "parse-names" : false, "suffix" : "" }, { "dropping-particle" : "", "family" : "G\u00f3mez-G\u00f3mez", "given" : "Jos\u00e9-Mar\u00eda", "non-dropping-particle" : "", "parse-names" : false, "suffix" : "" } ], "container-title" : "Current Drug Targets", "id" : "ITEM-1", "issue" : "4", "issued" : { "date-parts" : [ [ "2002", "8" ] ] }, "page" : "345-9", "title" : "Mutation and evolution of antibiotic resistance: antibiotics as promoters of antibiotic resistance?", "type" : "article-journal", "volume" : "3" }, "uris" : [ "http://www.mendeley.com/documents/?uuid=abb47c60-d9b5-44ca-8c10-478aa116fe7e" ] } ], "mendeley" : { "formattedCitation" : "&lt;sup&gt;19&lt;/sup&gt;", "plainTextFormattedCitation" : "19", "previouslyFormattedCitation" : "&lt;sup&gt;20&lt;/sup&gt;" }, "properties" : { "noteIndex" : 0 }, "schema" : "https://github.com/citation-style-language/schema/raw/master/csl-citation.json" }</w:instrText>
      </w:r>
      <w:r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19</w:t>
      </w:r>
      <w:r w:rsidRPr="000767AE">
        <w:rPr>
          <w:rFonts w:ascii="Arial" w:hAnsi="Arial" w:cs="Arial"/>
          <w:sz w:val="24"/>
          <w:szCs w:val="24"/>
          <w:lang w:val="en-US"/>
        </w:rPr>
        <w:fldChar w:fldCharType="end"/>
      </w:r>
      <w:r w:rsidRPr="000767AE">
        <w:rPr>
          <w:rFonts w:ascii="Arial" w:hAnsi="Arial" w:cs="Arial"/>
          <w:sz w:val="24"/>
          <w:szCs w:val="24"/>
        </w:rPr>
        <w:t xml:space="preserve"> </w:t>
      </w:r>
    </w:p>
    <w:p w14:paraId="5701B9D5" w14:textId="77777777" w:rsidR="00A053CE" w:rsidRPr="000767AE" w:rsidRDefault="00A053CE" w:rsidP="00A053CE">
      <w:pPr>
        <w:rPr>
          <w:rFonts w:ascii="Arial" w:hAnsi="Arial" w:cs="Arial"/>
          <w:sz w:val="24"/>
          <w:szCs w:val="24"/>
        </w:rPr>
      </w:pPr>
    </w:p>
    <w:p w14:paraId="7842F725" w14:textId="2E49A4C9" w:rsidR="00A053CE" w:rsidRPr="000767AE" w:rsidRDefault="00A053CE" w:rsidP="00A053CE">
      <w:pPr>
        <w:pStyle w:val="Heading3"/>
        <w:spacing w:before="0"/>
        <w:rPr>
          <w:rFonts w:ascii="Arial" w:hAnsi="Arial"/>
          <w:i/>
          <w:lang w:eastAsia="en-GB"/>
        </w:rPr>
      </w:pPr>
      <w:bookmarkStart w:id="5" w:name="_Toc381719161"/>
      <w:r w:rsidRPr="000767AE">
        <w:rPr>
          <w:rFonts w:ascii="Arial" w:hAnsi="Arial"/>
          <w:i/>
          <w:lang w:eastAsia="en-GB"/>
        </w:rPr>
        <w:t>3) Why does resistance emerge at the population level</w:t>
      </w:r>
      <w:r w:rsidR="00521087" w:rsidRPr="000767AE">
        <w:rPr>
          <w:rFonts w:ascii="Arial" w:hAnsi="Arial"/>
          <w:i/>
          <w:lang w:eastAsia="en-GB"/>
        </w:rPr>
        <w:t xml:space="preserve"> among humans and animals</w:t>
      </w:r>
      <w:r w:rsidRPr="000767AE">
        <w:rPr>
          <w:rFonts w:ascii="Arial" w:hAnsi="Arial"/>
          <w:i/>
          <w:lang w:eastAsia="en-GB"/>
        </w:rPr>
        <w:t>?</w:t>
      </w:r>
      <w:bookmarkEnd w:id="5"/>
    </w:p>
    <w:p w14:paraId="53A76566" w14:textId="674F3674" w:rsidR="00A053CE" w:rsidRPr="000767AE" w:rsidRDefault="00A053CE" w:rsidP="00A053CE">
      <w:pPr>
        <w:rPr>
          <w:rFonts w:ascii="Arial" w:hAnsi="Arial" w:cs="Arial"/>
          <w:sz w:val="24"/>
          <w:szCs w:val="24"/>
          <w:lang w:val="en-US"/>
        </w:rPr>
      </w:pPr>
      <w:r w:rsidRPr="000767AE">
        <w:rPr>
          <w:rFonts w:ascii="Arial" w:hAnsi="Arial" w:cs="Arial"/>
          <w:sz w:val="24"/>
          <w:szCs w:val="24"/>
        </w:rPr>
        <w:t xml:space="preserve">Antimicrobials are among the most commonly prescribed drugs used in human medicine; </w:t>
      </w:r>
      <w:r w:rsidR="00957093" w:rsidRPr="000767AE">
        <w:rPr>
          <w:rFonts w:ascii="Arial" w:hAnsi="Arial" w:cs="Arial"/>
          <w:sz w:val="24"/>
          <w:szCs w:val="24"/>
        </w:rPr>
        <w:t>yet</w:t>
      </w:r>
      <w:r w:rsidRPr="000767AE">
        <w:rPr>
          <w:rFonts w:ascii="Arial" w:hAnsi="Arial" w:cs="Arial"/>
          <w:sz w:val="24"/>
          <w:szCs w:val="24"/>
        </w:rPr>
        <w:t xml:space="preserve"> up to 50% of all antimicrobials prescribed to people are considered un</w:t>
      </w:r>
      <w:r w:rsidR="00376F82" w:rsidRPr="000767AE">
        <w:rPr>
          <w:rFonts w:ascii="Arial" w:hAnsi="Arial" w:cs="Arial"/>
          <w:sz w:val="24"/>
          <w:szCs w:val="24"/>
        </w:rPr>
        <w:t>n</w:t>
      </w:r>
      <w:r w:rsidRPr="000767AE">
        <w:rPr>
          <w:rFonts w:ascii="Arial" w:hAnsi="Arial" w:cs="Arial"/>
          <w:sz w:val="24"/>
          <w:szCs w:val="24"/>
        </w:rPr>
        <w:t>ecessary</w:t>
      </w:r>
      <w:r w:rsidR="00B13AE2" w:rsidRPr="000767AE">
        <w:rPr>
          <w:rFonts w:ascii="Arial" w:hAnsi="Arial" w:cs="Arial"/>
          <w:sz w:val="24"/>
          <w:szCs w:val="24"/>
        </w:rPr>
        <w:t>.</w:t>
      </w:r>
      <w:r w:rsidRPr="000767AE">
        <w:rPr>
          <w:rFonts w:ascii="Arial" w:hAnsi="Arial" w:cs="Arial"/>
          <w:sz w:val="24"/>
          <w:szCs w:val="24"/>
        </w:rPr>
        <w:fldChar w:fldCharType="begin" w:fldLock="1"/>
      </w:r>
      <w:r w:rsidR="009E0BAE">
        <w:rPr>
          <w:rFonts w:ascii="Arial" w:hAnsi="Arial" w:cs="Arial"/>
          <w:sz w:val="24"/>
          <w:szCs w:val="24"/>
        </w:rPr>
        <w:instrText>ADDIN CSL_CITATION { "citationItems" : [ { "id" : "ITEM-1", "itemData" : { "author" : [ { "dropping-particle" : "", "family" : "Centres for Disease Control and Prevention.", "given" : "", "non-dropping-particle" : "", "parse-names" : false, "suffix" : "" } ], "id" : "ITEM-1", "issued" : { "date-parts" : [ [ "2013" ] ] }, "publisher-place" : "Atlanta", "title" : "Antibiotic resistance threats in the United States, 2013.", "type" : "report" }, "uris" : [ "http://www.mendeley.com/documents/?uuid=aa516bcc-9dbc-42d2-91db-61d4e2350a48" ] } ], "mendeley" : { "formattedCitation" : "&lt;sup&gt;20&lt;/sup&gt;", "plainTextFormattedCitation" : "20", "previouslyFormattedCitation" : "&lt;sup&gt;21&lt;/sup&gt;" }, "properties" : { "noteIndex" : 0 }, "schema" : "https://github.com/citation-style-language/schema/raw/master/csl-citation.json" }</w:instrText>
      </w:r>
      <w:r w:rsidRPr="000767AE">
        <w:rPr>
          <w:rFonts w:ascii="Arial" w:hAnsi="Arial" w:cs="Arial"/>
          <w:sz w:val="24"/>
          <w:szCs w:val="24"/>
        </w:rPr>
        <w:fldChar w:fldCharType="separate"/>
      </w:r>
      <w:r w:rsidR="009E0BAE" w:rsidRPr="009E0BAE">
        <w:rPr>
          <w:rFonts w:ascii="Arial" w:hAnsi="Arial" w:cs="Arial"/>
          <w:noProof/>
          <w:sz w:val="24"/>
          <w:szCs w:val="24"/>
          <w:vertAlign w:val="superscript"/>
        </w:rPr>
        <w:t>20</w:t>
      </w:r>
      <w:r w:rsidRPr="000767AE">
        <w:rPr>
          <w:rFonts w:ascii="Arial" w:hAnsi="Arial" w:cs="Arial"/>
          <w:sz w:val="24"/>
          <w:szCs w:val="24"/>
        </w:rPr>
        <w:fldChar w:fldCharType="end"/>
      </w:r>
      <w:r w:rsidRPr="000767AE">
        <w:rPr>
          <w:rFonts w:ascii="Arial" w:hAnsi="Arial" w:cs="Arial"/>
          <w:sz w:val="24"/>
          <w:szCs w:val="24"/>
        </w:rPr>
        <w:t xml:space="preserve"> </w:t>
      </w:r>
      <w:r w:rsidR="00B13AE2" w:rsidRPr="000767AE">
        <w:rPr>
          <w:rFonts w:ascii="Arial" w:hAnsi="Arial" w:cs="Arial"/>
          <w:sz w:val="24"/>
          <w:szCs w:val="24"/>
          <w:lang w:val="en-US"/>
        </w:rPr>
        <w:t>T</w:t>
      </w:r>
      <w:r w:rsidRPr="000767AE">
        <w:rPr>
          <w:rFonts w:ascii="Arial" w:hAnsi="Arial" w:cs="Arial"/>
          <w:sz w:val="24"/>
          <w:szCs w:val="24"/>
          <w:lang w:val="en-US"/>
        </w:rPr>
        <w:t xml:space="preserve">his use and misuse/overuse of antimicrobial agents is </w:t>
      </w:r>
      <w:r w:rsidR="00AD36D8" w:rsidRPr="000767AE">
        <w:rPr>
          <w:rFonts w:ascii="Arial" w:hAnsi="Arial" w:cs="Arial"/>
          <w:sz w:val="24"/>
          <w:szCs w:val="24"/>
          <w:lang w:val="en-US"/>
        </w:rPr>
        <w:t xml:space="preserve">considered </w:t>
      </w:r>
      <w:r w:rsidRPr="000767AE">
        <w:rPr>
          <w:rFonts w:ascii="Arial" w:hAnsi="Arial" w:cs="Arial"/>
          <w:sz w:val="24"/>
          <w:szCs w:val="24"/>
          <w:lang w:val="en-US"/>
        </w:rPr>
        <w:t xml:space="preserve">to be a major driving force towards </w:t>
      </w:r>
      <w:r w:rsidRPr="00551CF0">
        <w:rPr>
          <w:rFonts w:ascii="Arial" w:hAnsi="Arial" w:cs="Arial"/>
          <w:sz w:val="24"/>
          <w:szCs w:val="24"/>
          <w:highlight w:val="yellow"/>
          <w:lang w:val="en-US"/>
        </w:rPr>
        <w:t>resistance</w:t>
      </w:r>
      <w:r w:rsidR="008F211C">
        <w:rPr>
          <w:rFonts w:ascii="Arial" w:hAnsi="Arial" w:cs="Arial"/>
          <w:sz w:val="24"/>
          <w:szCs w:val="24"/>
          <w:highlight w:val="yellow"/>
          <w:lang w:val="en-US"/>
        </w:rPr>
        <w:t>.</w:t>
      </w:r>
      <w:r w:rsidR="008F211C">
        <w:rPr>
          <w:rFonts w:ascii="Arial" w:hAnsi="Arial" w:cs="Arial"/>
          <w:sz w:val="24"/>
          <w:szCs w:val="24"/>
          <w:highlight w:val="yellow"/>
          <w:lang w:val="en-US"/>
        </w:rPr>
        <w:fldChar w:fldCharType="begin" w:fldLock="1"/>
      </w:r>
      <w:r w:rsidR="009E0BAE">
        <w:rPr>
          <w:rFonts w:ascii="Arial" w:hAnsi="Arial" w:cs="Arial"/>
          <w:sz w:val="24"/>
          <w:szCs w:val="24"/>
          <w:highlight w:val="yellow"/>
          <w:lang w:val="en-US"/>
        </w:rPr>
        <w:instrText>ADDIN CSL_CITATION { "citationItems" : [ { "id" : "ITEM-1", "itemData" : { "author" : [ { "dropping-particle" : "", "family" : "Laxminarayan", "given" : "Ramanan", "non-dropping-particle" : "", "parse-names" : false, "suffix" : "" }, { "dropping-particle" : "", "family" : "Duse", "given" : "Adriano", "non-dropping-particle" : "", "parse-names" : false, "suffix" : "" }, { "dropping-particle" : "", "family" : "Wattal", "given" : "Chand", "non-dropping-particle" : "", "parse-names" : false, "suffix" : "" }, { "dropping-particle" : "", "family" : "Zaidi", "given" : "Anita K M", "non-dropping-particle" : "", "parse-names" : false, "suffix" : "" }, { "dropping-particle" : "", "family" : "Wertheim", "given" : "Heiman F L", "non-dropping-particle" : "", "parse-names" : false, "suffix" : "" }, { "dropping-particle" : "", "family" : "Sumpradit", "given" : "Nithima", "non-dropping-particle" : "", "parse-names" : false, "suffix" : "" }, { "dropping-particle" : "", "family" : "Vlieghe", "given" : "Erika", "non-dropping-particle" : "", "parse-names" : false, "suffix" : "" }, { "dropping-particle" : "", "family" : "Hara", "given" : "Gabriel Levy", "non-dropping-particle" : "", "parse-names" : false, "suffix" : "" }, { "dropping-particle" : "", "family" : "Gould", "given" : "Ian M", "non-dropping-particle" : "", "parse-names" : false, "suffix" : "" }, { "dropping-particle" : "", "family" : "Goossens", "given" : "Herman", "non-dropping-particle" : "", "parse-names" : false, "suffix" : "" }, { "dropping-particle" : "", "family" : "Greko", "given" : "Christina", "non-dropping-particle" : "", "parse-names" : false, "suffix" : "" }, { "dropping-particle" : "", "family" : "So", "given" : "Anthony D", "non-dropping-particle" : "", "parse-names" : false, "suffix" : "" }, { "dropping-particle" : "", "family" : "Bigdeli", "given" : "Maryam", "non-dropping-particle" : "", "parse-names" : false, "suffix" : "" }, { "dropping-particle" : "", "family" : "Tomson", "given" : "G\u00f6ran", "non-dropping-particle" : "", "parse-names" : false, "suffix" : "" }, { "dropping-particle" : "", "family" : "Woodhouse", "given" : "Will", "non-dropping-particle" : "", "parse-names" : false, "suffix" : "" }, { "dropping-particle" : "", "family" : "Ombaka", "given" : "Eva", "non-dropping-particle" : "", "parse-names" : false, "suffix" : "" }, { "dropping-particle" : "", "family" : "Peralta", "given" : "Arturo Quizhpe", "non-dropping-particle" : "", "parse-names" : false, "suffix" : "" }, { "dropping-particle" : "", "family" : "Qamar", "given" : "Farah Naz", "non-dropping-particle" : "", "parse-names" : false, "suffix" : "" }, { "dropping-particle" : "", "family" : "Mir", "given" : "Fatima", "non-dropping-particle" : "", "parse-names" : false, "suffix" : "" }, { "dropping-particle" : "", "family" : "Kariuki", "given" : "Sam", "non-dropping-particle" : "", "parse-names" : false, "suffix" : "" }, { "dropping-particle" : "", "family" : "Bhutta", "given" : "Zulfiqar A", "non-dropping-particle" : "", "parse-names" : false, "suffix" : "" }, { "dropping-particle" : "", "family" : "Coates", "given" : "Anthony", "non-dropping-particle" : "", "parse-names" : false, "suffix" : "" }, { "dropping-particle" : "", "family" : "Bergstrom", "given" : "Richard", "non-dropping-particle" : "", "parse-names" : false, "suffix" : "" }, { "dropping-particle" : "", "family" : "Wright", "given" : "Gerard D", "non-dropping-particle" : "", "parse-names" : false, "suffix" : "" }, { "dropping-particle" : "", "family" : "Brown", "given" : "Eric D", "non-dropping-particle" : "", "parse-names" : false, "suffix" : "" }, { "dropping-particle" : "", "family" : "Cars", "given" : "Otto", "non-dropping-particle" : "", "parse-names" : false, "suffix" : "" } ], "container-title" : "Lancet Infectious Diseases", "id" : "ITEM-1", "issue" : "12", "issued" : { "date-parts" : [ [ "2013" ] ] }, "page" : "1057-98", "title" : "Antibiotic resistance-the need for global solutions.", "type" : "article-journal", "volume" : "13" }, "uris" : [ "http://www.mendeley.com/documents/?uuid=3ca22af9-bb87-4e1f-9ff0-97f74a412440" ] }, { "id" : "ITEM-2", "itemData" : { "author" : [ { "dropping-particle" : "", "family" : "World Health Organization", "given" : "", "non-dropping-particle" : "", "parse-names" : false, "suffix" : "" } ], "container-title" : "2012", "id" : "ITEM-2", "issued" : { "date-parts" : [ [ "2012" ] ] }, "publisher-place" : "Geneva", "title" : "The evolving threat of antimicrobial resistance: Options for action", "type" : "report" }, "uris" : [ "http://www.mendeley.com/documents/?uuid=d7dc2532-070a-4f17-a252-61a578e46efa" ] } ], "mendeley" : { "formattedCitation" : "&lt;sup&gt;21,22&lt;/sup&gt;", "plainTextFormattedCitation" : "21,22", "previouslyFormattedCitation" : "&lt;sup&gt;22,23&lt;/sup&gt;" }, "properties" : { "noteIndex" : 0 }, "schema" : "https://github.com/citation-style-language/schema/raw/master/csl-citation.json" }</w:instrText>
      </w:r>
      <w:r w:rsidR="008F211C">
        <w:rPr>
          <w:rFonts w:ascii="Arial" w:hAnsi="Arial" w:cs="Arial"/>
          <w:sz w:val="24"/>
          <w:szCs w:val="24"/>
          <w:highlight w:val="yellow"/>
          <w:lang w:val="en-US"/>
        </w:rPr>
        <w:fldChar w:fldCharType="separate"/>
      </w:r>
      <w:r w:rsidR="009E0BAE" w:rsidRPr="009E0BAE">
        <w:rPr>
          <w:rFonts w:ascii="Arial" w:hAnsi="Arial" w:cs="Arial"/>
          <w:noProof/>
          <w:sz w:val="24"/>
          <w:szCs w:val="24"/>
          <w:highlight w:val="yellow"/>
          <w:vertAlign w:val="superscript"/>
          <w:lang w:val="en-US"/>
        </w:rPr>
        <w:t>21,22</w:t>
      </w:r>
      <w:r w:rsidR="008F211C">
        <w:rPr>
          <w:rFonts w:ascii="Arial" w:hAnsi="Arial" w:cs="Arial"/>
          <w:sz w:val="24"/>
          <w:szCs w:val="24"/>
          <w:highlight w:val="yellow"/>
          <w:lang w:val="en-US"/>
        </w:rPr>
        <w:fldChar w:fldCharType="end"/>
      </w:r>
    </w:p>
    <w:p w14:paraId="57E9E640" w14:textId="60E9221C" w:rsidR="000310E5" w:rsidRPr="000767AE" w:rsidRDefault="000310E5" w:rsidP="000310E5">
      <w:pPr>
        <w:rPr>
          <w:rFonts w:ascii="Arial" w:hAnsi="Arial" w:cs="Arial"/>
          <w:sz w:val="24"/>
          <w:szCs w:val="24"/>
          <w:lang w:val="en-US"/>
        </w:rPr>
      </w:pPr>
      <w:r w:rsidRPr="000767AE">
        <w:rPr>
          <w:rFonts w:ascii="Arial" w:hAnsi="Arial" w:cs="Arial"/>
          <w:sz w:val="24"/>
          <w:szCs w:val="24"/>
          <w:lang w:val="en-US"/>
        </w:rPr>
        <w:lastRenderedPageBreak/>
        <w:t>In humans, the concentration of antibiotic prescribing may be highest in inpatient settings, with 30-40% on antibiotics in European hospitals</w:t>
      </w:r>
      <w:r w:rsidR="008737BB" w:rsidRPr="000767AE">
        <w:rPr>
          <w:rFonts w:ascii="Arial" w:hAnsi="Arial" w:cs="Arial"/>
          <w:sz w:val="24"/>
          <w:szCs w:val="24"/>
          <w:lang w:val="en-US"/>
        </w:rPr>
        <w:t>.</w:t>
      </w:r>
      <w:r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"ISBN" : "9789291934850", "author" : [ { "dropping-particle" : "", "family" : "European Centre for Disease Prevention and Control", "given" : "", "non-dropping-particle" : "", "parse-names" : false, "suffix" : "" } ], "id" : "ITEM-1", "issued" : { "date-parts" : [ [ "2013" ] ] }, "publisher-place" : "Stockholm", "title" : "Point prevalence survey of healthcare-associated infections and antimicrobial use in European acute care hospitals, 2011\u20132012.", "type" : "report" }, "uris" : [ "http://www.mendeley.com/documents/?uuid=768a40e9-d650-4770-b3c3-580e22610e50" ] } ], "mendeley" : { "formattedCitation" : "&lt;sup&gt;23&lt;/sup&gt;", "plainTextFormattedCitation" : "23", "previouslyFormattedCitation" : "&lt;sup&gt;24&lt;/sup&gt;" }, "properties" : { "noteIndex" : 0 }, "schema" : "https://github.com/citation-style-language/schema/raw/master/csl-citation.json" }</w:instrText>
      </w:r>
      <w:r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23</w:t>
      </w:r>
      <w:r w:rsidRPr="000767AE">
        <w:rPr>
          <w:rFonts w:ascii="Arial" w:hAnsi="Arial" w:cs="Arial"/>
          <w:sz w:val="24"/>
          <w:szCs w:val="24"/>
          <w:lang w:val="en-US"/>
        </w:rPr>
        <w:fldChar w:fldCharType="end"/>
      </w:r>
      <w:r w:rsidRPr="000767AE">
        <w:rPr>
          <w:rFonts w:ascii="Arial" w:hAnsi="Arial" w:cs="Arial"/>
          <w:sz w:val="24"/>
          <w:szCs w:val="24"/>
          <w:lang w:val="en-US"/>
        </w:rPr>
        <w:t xml:space="preserve"> </w:t>
      </w:r>
      <w:r w:rsidR="008737BB" w:rsidRPr="000767AE">
        <w:rPr>
          <w:rFonts w:ascii="Arial" w:hAnsi="Arial" w:cs="Arial"/>
          <w:sz w:val="24"/>
          <w:szCs w:val="24"/>
          <w:lang w:val="en-US"/>
        </w:rPr>
        <w:t>H</w:t>
      </w:r>
      <w:r w:rsidRPr="000767AE">
        <w:rPr>
          <w:rFonts w:ascii="Arial" w:hAnsi="Arial" w:cs="Arial"/>
          <w:sz w:val="24"/>
          <w:szCs w:val="24"/>
          <w:lang w:val="en-US"/>
        </w:rPr>
        <w:t>owever</w:t>
      </w:r>
      <w:r w:rsidR="008737BB" w:rsidRPr="000767AE">
        <w:rPr>
          <w:rFonts w:ascii="Arial" w:hAnsi="Arial" w:cs="Arial"/>
          <w:sz w:val="24"/>
          <w:szCs w:val="24"/>
          <w:lang w:val="en-US"/>
        </w:rPr>
        <w:t>,</w:t>
      </w:r>
      <w:r w:rsidRPr="000767AE">
        <w:rPr>
          <w:rFonts w:ascii="Arial" w:hAnsi="Arial" w:cs="Arial"/>
          <w:sz w:val="24"/>
          <w:szCs w:val="24"/>
          <w:lang w:val="en-US"/>
        </w:rPr>
        <w:t xml:space="preserve"> the overall incidence of antimicrobial prescribing is highest </w:t>
      </w:r>
      <w:r w:rsidR="00521087" w:rsidRPr="000767AE">
        <w:rPr>
          <w:rFonts w:ascii="Arial" w:hAnsi="Arial" w:cs="Arial"/>
          <w:sz w:val="24"/>
          <w:szCs w:val="24"/>
          <w:lang w:val="en-US"/>
        </w:rPr>
        <w:t>in the community from</w:t>
      </w:r>
      <w:r w:rsidRPr="000767AE">
        <w:rPr>
          <w:rFonts w:ascii="Arial" w:hAnsi="Arial" w:cs="Arial"/>
          <w:sz w:val="24"/>
          <w:szCs w:val="24"/>
          <w:lang w:val="en-US"/>
        </w:rPr>
        <w:t xml:space="preserve"> primary care</w:t>
      </w:r>
      <w:r w:rsidR="00551CF0" w:rsidRPr="00551CF0">
        <w:rPr>
          <w:rFonts w:ascii="Arial" w:hAnsi="Arial" w:cs="Arial"/>
          <w:sz w:val="24"/>
          <w:szCs w:val="24"/>
          <w:highlight w:val="yellow"/>
          <w:lang w:val="en-US"/>
        </w:rPr>
        <w:t>.</w:t>
      </w:r>
      <w:r w:rsidR="00551CF0" w:rsidRPr="00551CF0">
        <w:rPr>
          <w:rFonts w:ascii="Arial" w:hAnsi="Arial" w:cs="Arial"/>
          <w:sz w:val="24"/>
          <w:szCs w:val="24"/>
          <w:highlight w:val="yellow"/>
          <w:lang w:val="en-US"/>
        </w:rPr>
        <w:fldChar w:fldCharType="begin" w:fldLock="1"/>
      </w:r>
      <w:r w:rsidR="009E0BAE">
        <w:rPr>
          <w:rFonts w:ascii="Arial" w:hAnsi="Arial" w:cs="Arial"/>
          <w:sz w:val="24"/>
          <w:szCs w:val="24"/>
          <w:highlight w:val="yellow"/>
          <w:lang w:val="en-US"/>
        </w:rPr>
        <w:instrText>ADDIN CSL_CITATION { "citationItems" : [ { "id" : "ITEM-1", "itemData" : { "DOI" : "10.2900/32937", "ISBN" : "9789291935895", "author" : [ { "dropping-particle" : "", "family" : "European Centre for Disease Prevention and Control", "given" : "", "non-dropping-particle" : "", "parse-names" : false, "suffix" : "" } ], "id" : "ITEM-1", "issued" : { "date-parts" : [ [ "2014" ] ] }, "publisher-place" : "Stockholm", "title" : "Surveillance of antimicrobial consumption in Europe 2012", "type" : "book" }, "uris" : [ "http://www.mendeley.com/documents/?uuid=7b300266-1fe2-491f-83bc-2b478ee0c2c1" ] } ], "mendeley" : { "formattedCitation" : "&lt;sup&gt;24&lt;/sup&gt;", "plainTextFormattedCitation" : "24", "previouslyFormattedCitation" : "&lt;sup&gt;25&lt;/sup&gt;" }, "properties" : { "noteIndex" : 0 }, "schema" : "https://github.com/citation-style-language/schema/raw/master/csl-citation.json" }</w:instrText>
      </w:r>
      <w:r w:rsidR="00551CF0" w:rsidRPr="00551CF0">
        <w:rPr>
          <w:rFonts w:ascii="Arial" w:hAnsi="Arial" w:cs="Arial"/>
          <w:sz w:val="24"/>
          <w:szCs w:val="24"/>
          <w:highlight w:val="yellow"/>
          <w:lang w:val="en-US"/>
        </w:rPr>
        <w:fldChar w:fldCharType="separate"/>
      </w:r>
      <w:r w:rsidR="009E0BAE" w:rsidRPr="009E0BAE">
        <w:rPr>
          <w:rFonts w:ascii="Arial" w:hAnsi="Arial" w:cs="Arial"/>
          <w:noProof/>
          <w:sz w:val="24"/>
          <w:szCs w:val="24"/>
          <w:highlight w:val="yellow"/>
          <w:vertAlign w:val="superscript"/>
          <w:lang w:val="en-US"/>
        </w:rPr>
        <w:t>24</w:t>
      </w:r>
      <w:r w:rsidR="00551CF0" w:rsidRPr="00551CF0">
        <w:rPr>
          <w:rFonts w:ascii="Arial" w:hAnsi="Arial" w:cs="Arial"/>
          <w:sz w:val="24"/>
          <w:szCs w:val="24"/>
          <w:highlight w:val="yellow"/>
          <w:lang w:val="en-US"/>
        </w:rPr>
        <w:fldChar w:fldCharType="end"/>
      </w:r>
      <w:r w:rsidRPr="000767AE">
        <w:rPr>
          <w:rFonts w:ascii="Arial" w:hAnsi="Arial" w:cs="Arial"/>
          <w:sz w:val="24"/>
          <w:szCs w:val="24"/>
          <w:lang w:val="en-US"/>
        </w:rPr>
        <w:t xml:space="preserve"> Even though guidelines recommend prudent use</w:t>
      </w:r>
      <w:r w:rsidRPr="00551CF0">
        <w:rPr>
          <w:rFonts w:ascii="Arial" w:hAnsi="Arial" w:cs="Arial"/>
          <w:sz w:val="24"/>
          <w:szCs w:val="24"/>
          <w:highlight w:val="yellow"/>
          <w:lang w:val="en-US"/>
        </w:rPr>
        <w:t>,</w:t>
      </w:r>
      <w:r w:rsidR="00EB57DC" w:rsidRPr="000767AE">
        <w:rPr>
          <w:rFonts w:ascii="Arial" w:hAnsi="Arial" w:cs="Arial"/>
          <w:sz w:val="24"/>
          <w:szCs w:val="24"/>
          <w:lang w:val="en-US"/>
        </w:rPr>
        <w:t xml:space="preserve"> </w:t>
      </w:r>
      <w:r w:rsidR="00376F82" w:rsidRPr="000767AE">
        <w:rPr>
          <w:rFonts w:ascii="Arial" w:hAnsi="Arial" w:cs="Arial"/>
          <w:sz w:val="24"/>
          <w:szCs w:val="24"/>
          <w:lang w:val="en-US"/>
        </w:rPr>
        <w:t xml:space="preserve">needless </w:t>
      </w:r>
      <w:r w:rsidRPr="000767AE">
        <w:rPr>
          <w:rFonts w:ascii="Arial" w:hAnsi="Arial" w:cs="Arial"/>
          <w:sz w:val="24"/>
          <w:szCs w:val="24"/>
          <w:lang w:val="en-US"/>
        </w:rPr>
        <w:t xml:space="preserve">prescriptions </w:t>
      </w:r>
      <w:r w:rsidR="00883E6F" w:rsidRPr="000767AE">
        <w:rPr>
          <w:rFonts w:ascii="Arial" w:hAnsi="Arial" w:cs="Arial"/>
          <w:sz w:val="24"/>
          <w:szCs w:val="24"/>
          <w:lang w:val="en-US"/>
        </w:rPr>
        <w:t xml:space="preserve">are </w:t>
      </w:r>
      <w:r w:rsidRPr="000767AE">
        <w:rPr>
          <w:rFonts w:ascii="Arial" w:hAnsi="Arial" w:cs="Arial"/>
          <w:sz w:val="24"/>
          <w:szCs w:val="24"/>
          <w:lang w:val="en-US"/>
        </w:rPr>
        <w:t>seen even in countries with low prescribing.</w:t>
      </w:r>
      <w:r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"author" : [ { "dropping-particle" : "", "family" : "Arnold", "given" : "SR", "non-dropping-particle" : "", "parse-names" : false, "suffix" : "" }, { "dropping-particle" : "", "family" : "Straus", "given" : "SE", "non-dropping-particle" : "", "parse-names" : false, "suffix" : "" } ], "container-title" : "The Cochrane Library", "id" : "ITEM-1", "issue" : "4", "issued" : { "date-parts" : [ [ "2009" ] ] }, "page" : "1-78", "title" : "Interventions to improve antibiotic prescribing practices in ambulatory care", "type" : "article-journal" }, "uris" : [ "http://www.mendeley.com/documents/?uuid=561f1342-4377-40f9-a8fa-d38053917c29" ] } ], "mendeley" : { "formattedCitation" : "&lt;sup&gt;25&lt;/sup&gt;", "plainTextFormattedCitation" : "25", "previouslyFormattedCitation" : "&lt;sup&gt;26&lt;/sup&gt;" }, "properties" : { "noteIndex" : 0 }, "schema" : "https://github.com/citation-style-language/schema/raw/master/csl-citation.json" }</w:instrText>
      </w:r>
      <w:r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25</w:t>
      </w:r>
      <w:r w:rsidRPr="000767AE">
        <w:rPr>
          <w:rFonts w:ascii="Arial" w:hAnsi="Arial" w:cs="Arial"/>
          <w:sz w:val="24"/>
          <w:szCs w:val="24"/>
          <w:lang w:val="en-US"/>
        </w:rPr>
        <w:fldChar w:fldCharType="end"/>
      </w:r>
      <w:r w:rsidRPr="000767AE">
        <w:rPr>
          <w:rFonts w:ascii="Arial" w:hAnsi="Arial" w:cs="Arial"/>
          <w:sz w:val="24"/>
          <w:szCs w:val="24"/>
          <w:lang w:val="en-US"/>
        </w:rPr>
        <w:t xml:space="preserve"> </w:t>
      </w:r>
      <w:r w:rsidR="00883E6F" w:rsidRPr="000767AE">
        <w:rPr>
          <w:rFonts w:ascii="Arial" w:hAnsi="Arial" w:cs="Arial"/>
          <w:sz w:val="24"/>
          <w:szCs w:val="24"/>
          <w:lang w:val="en-US"/>
        </w:rPr>
        <w:t>However</w:t>
      </w:r>
      <w:r w:rsidRPr="000767AE">
        <w:rPr>
          <w:rFonts w:ascii="Arial" w:hAnsi="Arial" w:cs="Arial"/>
          <w:sz w:val="24"/>
          <w:szCs w:val="24"/>
          <w:lang w:val="en-US"/>
        </w:rPr>
        <w:t xml:space="preserve"> an overall reduction in prescriptions for antimicrobials </w:t>
      </w:r>
      <w:r w:rsidR="00883E6F" w:rsidRPr="000767AE">
        <w:rPr>
          <w:rFonts w:ascii="Arial" w:hAnsi="Arial" w:cs="Arial"/>
          <w:sz w:val="24"/>
          <w:szCs w:val="24"/>
          <w:lang w:val="en-US"/>
        </w:rPr>
        <w:t>has been observed over</w:t>
      </w:r>
      <w:r w:rsidRPr="000767AE">
        <w:rPr>
          <w:rFonts w:ascii="Arial" w:hAnsi="Arial" w:cs="Arial"/>
          <w:sz w:val="24"/>
          <w:szCs w:val="24"/>
          <w:lang w:val="en-US"/>
        </w:rPr>
        <w:t xml:space="preserve"> the past decade</w:t>
      </w:r>
      <w:r w:rsidRPr="001A57DF">
        <w:rPr>
          <w:rFonts w:ascii="Arial" w:hAnsi="Arial" w:cs="Arial"/>
          <w:sz w:val="24"/>
          <w:szCs w:val="24"/>
          <w:highlight w:val="yellow"/>
          <w:lang w:val="en-US"/>
        </w:rPr>
        <w:t>,</w:t>
      </w:r>
      <w:r w:rsidRPr="000767AE">
        <w:rPr>
          <w:rFonts w:ascii="Arial" w:hAnsi="Arial" w:cs="Arial"/>
          <w:sz w:val="24"/>
          <w:szCs w:val="24"/>
          <w:lang w:val="en-US"/>
        </w:rPr>
        <w:t xml:space="preserve"> </w:t>
      </w:r>
      <w:r w:rsidR="000A6197" w:rsidRPr="000767AE">
        <w:rPr>
          <w:rFonts w:ascii="Arial" w:hAnsi="Arial" w:cs="Arial"/>
          <w:sz w:val="24"/>
          <w:szCs w:val="24"/>
          <w:lang w:val="en-US"/>
        </w:rPr>
        <w:t>with a</w:t>
      </w:r>
      <w:r w:rsidRPr="000767AE">
        <w:rPr>
          <w:rFonts w:ascii="Arial" w:hAnsi="Arial" w:cs="Arial"/>
          <w:sz w:val="24"/>
          <w:szCs w:val="24"/>
          <w:lang w:val="en-US"/>
        </w:rPr>
        <w:t xml:space="preserve"> modest reduc</w:t>
      </w:r>
      <w:r w:rsidR="000A6197" w:rsidRPr="000767AE">
        <w:rPr>
          <w:rFonts w:ascii="Arial" w:hAnsi="Arial" w:cs="Arial"/>
          <w:sz w:val="24"/>
          <w:szCs w:val="24"/>
          <w:lang w:val="en-US"/>
        </w:rPr>
        <w:t>tion in</w:t>
      </w:r>
      <w:r w:rsidRPr="000767AE">
        <w:rPr>
          <w:rFonts w:ascii="Arial" w:hAnsi="Arial" w:cs="Arial"/>
          <w:sz w:val="24"/>
          <w:szCs w:val="24"/>
          <w:lang w:val="en-US"/>
        </w:rPr>
        <w:t xml:space="preserve"> </w:t>
      </w:r>
      <w:r w:rsidR="00883E6F" w:rsidRPr="000767AE">
        <w:rPr>
          <w:rFonts w:ascii="Arial" w:hAnsi="Arial" w:cs="Arial"/>
          <w:sz w:val="24"/>
          <w:szCs w:val="24"/>
          <w:lang w:val="en-US"/>
        </w:rPr>
        <w:t>AMR</w:t>
      </w:r>
      <w:r w:rsidR="000A6197" w:rsidRPr="000767AE">
        <w:rPr>
          <w:rFonts w:ascii="Arial" w:hAnsi="Arial" w:cs="Arial"/>
          <w:sz w:val="24"/>
          <w:szCs w:val="24"/>
          <w:lang w:val="en-US"/>
        </w:rPr>
        <w:t xml:space="preserve"> seen in some settings</w:t>
      </w:r>
      <w:r w:rsidRPr="000767AE">
        <w:rPr>
          <w:rFonts w:ascii="Arial" w:hAnsi="Arial" w:cs="Arial"/>
          <w:sz w:val="24"/>
          <w:szCs w:val="24"/>
          <w:lang w:val="en-US"/>
        </w:rPr>
        <w:t>.</w:t>
      </w:r>
      <w:r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"10.1093/jac/dkt212", "ISBN" : "2083276264", "ISSN" : "1460-2091", "PMID" : "23766490", "abstract" : "OBJECTIVES: The UK saw major increases in cephalosporin and quinolone resistance amongst Enterobacteriaceae from 2001 to 2006, with cephalosporin resistance largely reflecting dissemination of CTX-M extended-spectrum \u03b2-lactamases (ESBLs). We review subsequent trends. METHODS: Data were extracted from Public Health England's national database (LabBase), which collects susceptibility results for bloodstream isolates from hospital microbiology laboratories in England, Wales and Northern Ireland, and from the BSAC Bacteraemia Resistance Surveillance System, which centrally tests bloodstream isolates from 25-40 sentinel UK and Irish laboratories. Reference laboratory submissions were also reviewed. RESULTS: LabBase and BSAC data showed that rates of non-susceptibility to cephalosporins and quinolones rose amongst Escherichia coli and Klebsiella spp. until mid-decade (2004-07) before plateauing or falling; similar falls in non-susceptibility began slightly earlier in Enterobacter spp. These reversals in trend occurred whilst the incidence of E. coli bacteraemias was rising, the incidence of Klebsiella bacteraemias was stable and the incidence of Enterobacter bacteraemias was falling; they were not paralleled in EARS-Net data for continental Europe and did not reflect the displacement of single mechanisms. They coincided with large reductions in hospital cephalosporin and quinolone use, owing to concern about Clostridium difficile, with replacement by penicillin/\u03b2-lactamase inhibitor combinations, which have borderline activity against ESBL producers, but consistently lack activity against carbapenemase producers. CONCLUSIONS: Non-susceptibility to cephalosporins and quinolones has declined among bloodstream Enterobacteriaceae in the UK, probably reflecting prescribing shifts. The penicillin/\u03b2-lactamase inhibitor combinations that have largely replaced cephalosporins and quinolones may add to selection for carbapenemase producers.", "author" : [ { "dropping-particle" : "", "family" : "Livermore", "given" : "David M", "non-dropping-particle" : "", "parse-names" : false, "suffix" : "" }, { "dropping-particle" : "", "family" : "Hope", "given" : "Russell", "non-dropping-particle" : "", "parse-names" : false, "suffix" : "" }, { "dropping-particle" : "", "family" : "Reynolds", "given" : "Rosy", "non-dropping-particle" : "", "parse-names" : false, "suffix" : "" }, { "dropping-particle" : "", "family" : "Blackburn", "given" : "Ruth", "non-dropping-particle" : "", "parse-names" : false, "suffix" : "" }, { "dropping-particle" : "", "family" : "Johnson", "given" : "Alan P", "non-dropping-particle" : "", "parse-names" : false, "suffix" : "" }, { "dropping-particle" : "", "family" : "Woodford", "given" : "Neil", "non-dropping-particle" : "", "parse-names" : false, "suffix" : "" } ], "container-title" : "Journal of Antimicrobial Chemotherapy", "id" : "ITEM-1", "issue" : "11", "issued" : { "date-parts" : [ [ "2013", "11" ] ] }, "note" : "From Duplicate 2 ( ", "page" : "2667-74", "title" : "Declining cephalosporin and fluoroquinolone non-susceptibility among bloodstream Enterobacteriaceae from the UK: links to prescribing change?", "type" : "article-journal", "volume" : "68" }, "uris" : [ "http://www.mendeley.com/documents/?uuid=dae307d7-ebe3-485c-9ec8-b857b9546c1f" ] } ], "mendeley" : { "formattedCitation" : "&lt;sup&gt;26&lt;/sup&gt;", "plainTextFormattedCitation" : "26", "previouslyFormattedCitation" : "&lt;sup&gt;27&lt;/sup&gt;" }, "properties" : { "noteIndex" : 0 }, "schema" : "https://github.com/citation-style-language/schema/raw/master/csl-citation.json" }</w:instrText>
      </w:r>
      <w:r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26</w:t>
      </w:r>
      <w:r w:rsidRPr="000767AE">
        <w:rPr>
          <w:rFonts w:ascii="Arial" w:hAnsi="Arial" w:cs="Arial"/>
          <w:sz w:val="24"/>
          <w:szCs w:val="24"/>
          <w:lang w:val="en-US"/>
        </w:rPr>
        <w:fldChar w:fldCharType="end"/>
      </w:r>
      <w:r w:rsidRPr="000767AE">
        <w:rPr>
          <w:rFonts w:ascii="Arial" w:hAnsi="Arial" w:cs="Arial"/>
          <w:sz w:val="24"/>
          <w:szCs w:val="24"/>
          <w:lang w:val="en-US"/>
        </w:rPr>
        <w:t xml:space="preserve"> The role of educating prescribers is a key </w:t>
      </w:r>
      <w:r w:rsidR="000A6197" w:rsidRPr="000767AE">
        <w:rPr>
          <w:rFonts w:ascii="Arial" w:hAnsi="Arial" w:cs="Arial"/>
          <w:sz w:val="24"/>
          <w:szCs w:val="24"/>
          <w:lang w:val="en-US"/>
        </w:rPr>
        <w:t>in</w:t>
      </w:r>
      <w:r w:rsidRPr="000767AE">
        <w:rPr>
          <w:rFonts w:ascii="Arial" w:hAnsi="Arial" w:cs="Arial"/>
          <w:sz w:val="24"/>
          <w:szCs w:val="24"/>
          <w:lang w:val="en-US"/>
        </w:rPr>
        <w:t xml:space="preserve"> overcom</w:t>
      </w:r>
      <w:r w:rsidR="000A6197" w:rsidRPr="000767AE">
        <w:rPr>
          <w:rFonts w:ascii="Arial" w:hAnsi="Arial" w:cs="Arial"/>
          <w:sz w:val="24"/>
          <w:szCs w:val="24"/>
          <w:lang w:val="en-US"/>
        </w:rPr>
        <w:t>ing</w:t>
      </w:r>
      <w:r w:rsidRPr="000767AE">
        <w:rPr>
          <w:rFonts w:ascii="Arial" w:hAnsi="Arial" w:cs="Arial"/>
          <w:sz w:val="24"/>
          <w:szCs w:val="24"/>
          <w:lang w:val="en-US"/>
        </w:rPr>
        <w:t xml:space="preserve"> antimicrobial misuse/overuse and has been seen to be effective in primary care</w:t>
      </w:r>
      <w:r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"10.1016/S0140-6736(13)60994-0", "ISSN" : "1474-547X", "PMID" : "23915885", "abstract" : "BACKGROUND: High-volume prescribing of antibiotics in primary care is a major driver of antibiotic resistance. Education of physicians and patients can lower prescribing levels, but it frequently relies on highly trained staff. We assessed whether internet-based training methods could alter prescribing practices in multiple health-care systems.\n\nMETHODS: After a baseline audit in October to December, 2010, primary-care practices in six European countries were cluster randomised to usual care, training in the use of a C-reactive protein (CRP) test at point of care, in enhanced communication skills, or in both CRP and enhanced communication. Patients were recruited from February to May, 2011. This trial is registered, number ISRCTN99871214.\n\nRESULTS: The baseline audit, done in 259 practices, provided data for 6771 patients with lower-respiratory-tract infections (3742 [55\u00b73%]) and upper-respiratory-tract infections (1416 [20\u00b79%]), of whom 5355 (79\u00b71%) were prescribed antibiotics. After randomisation, 246 practices were included and 4264 patients were recruited. The antibiotic prescribing rate was lower with CRP training than without (33% vs 48%, adjusted risk ratio 0\u00b754, 95% CI 0\u00b742-0\u00b769) and with enhanced-communication training than without (36% vs 45%, 0\u00b769, 0\u00b754-0\u00b787). The combined intervention was associated with the greatest reduction in prescribing rate (CRP risk ratio 0\u00b753, 95% CI 0\u00b736-0\u00b774, p&lt;0\u00b70001; enhanced communication 0\u00b768, 0\u00b750-0\u00b789, p=0\u00b7003; combined 0\u00b738, 0\u00b725-0\u00b755, p&lt;0\u00b70001).\n\nINTERPRETATION: Internet training achieved important reductions in antibiotic prescribing for respiratory-tract infections across language and cultural boundaries.\n\nFUNDING: European Commission Framework Programme 6, National Institute for Health Research, Research Foundation Flanders.", "author" : [ { "dropping-particle" : "", "family" : "Little", "given" : "Paul", "non-dropping-particle" : "", "parse-names" : false, "suffix" : "" }, { "dropping-particle" : "", "family" : "Stuart", "given" : "Beth", "non-dropping-particle" : "", "parse-names" : false, "suffix" : "" }, { "dropping-particle" : "", "family" : "Francis", "given" : "Nick", "non-dropping-particle" : "", "parse-names" : false, "suffix" : "" }, { "dropping-particle" : "", "family" : "Douglas", "given" : "Elaine", "non-dropping-particle" : "", "parse-names" : false, "suffix" : "" }, { "dropping-particle" : "", "family" : "Tonkin-Crine", "given" : "Sarah", "non-dropping-particle" : "", "parse-names" : false, "suffix" : "" }, { "dropping-particle" : "", "family" : "Anthierens", "given" : "Sibyl", "non-dropping-particle" : "", "parse-names" : false, "suffix" : "" }, { "dropping-particle" : "", "family" : "Cals", "given" : "Jochen Wl", "non-dropping-particle" : "", "parse-names" : false, "suffix" : "" }, { "dropping-particle" : "", "family" : "Melbye", "given" : "Hasse", "non-dropping-particle" : "", "parse-names" : false, "suffix" : "" }, { "dropping-particle" : "", "family" : "Santer", "given" : "Miriam", "non-dropping-particle" : "", "parse-names" : false, "suffix" : "" }, { "dropping-particle" : "", "family" : "Moore", "given" : "Michael", "non-dropping-particle" : "", "parse-names" : false, "suffix" : "" }, { "dropping-particle" : "", "family" : "Coenen", "given" : "Samuel", "non-dropping-particle" : "", "parse-names" : false, "suffix" : "" }, { "dropping-particle" : "", "family" : "Butler", "given" : "Chris", "non-dropping-particle" : "", "parse-names" : false, "suffix" : "" }, { "dropping-particle" : "", "family" : "Hood", "given" : "Kerenza", "non-dropping-particle" : "", "parse-names" : false, "suffix" : "" }, { "dropping-particle" : "", "family" : "Kelly", "given" : "Mark", "non-dropping-particle" : "", "parse-names" : false, "suffix" : "" }, { "dropping-particle" : "", "family" : "Godycki-Cwirko", "given" : "Maciek", "non-dropping-particle" : "", "parse-names" : false, "suffix" : "" }, { "dropping-particle" : "", "family" : "Mierzecki", "given" : "Artur", "non-dropping-particle" : "", "parse-names" : false, "suffix" : "" }, { "dropping-particle" : "", "family" : "Torres", "given" : "Antoni", "non-dropping-particle" : "", "parse-names" : false, "suffix" : "" }, { "dropping-particle" : "", "family" : "Llor", "given" : "Carl", "non-dropping-particle" : "", "parse-names" : false, "suffix" : "" }, { "dropping-particle" : "", "family" : "Davies", "given" : "Melanie", "non-dropping-particle" : "", "parse-names" : false, "suffix" : "" }, { "dropping-particle" : "", "family" : "Mullee", "given" : "Mark", "non-dropping-particle" : "", "parse-names" : false, "suffix" : "" }, { "dropping-particle" : "", "family" : "O'Reilly", "given" : "Gilly", "non-dropping-particle" : "", "parse-names" : false, "suffix" : "" }, { "dropping-particle" : "", "family" : "Velden", "given" : "Alike", "non-dropping-particle" : "van der", "parse-names" : false, "suffix" : "" }, { "dropping-particle" : "", "family" : "Geraghty", "given" : "Adam Wa", "non-dropping-particle" : "", "parse-names" : false, "suffix" : "" }, { "dropping-particle" : "", "family" : "Goossens", "given" : "Herman", "non-dropping-particle" : "", "parse-names" : false, "suffix" : "" }, { "dropping-particle" : "", "family" : "Verheij", "given" : "Theo", "non-dropping-particle" : "", "parse-names" : false, "suffix" : "" }, { "dropping-particle" : "", "family" : "Yardley", "given" : "Lucy", "non-dropping-particle" : "", "parse-names" : false, "suffix" : "" } ], "container-title" : "Lancet", "id" : "ITEM-1", "issue" : "9899", "issued" : { "date-parts" : [ [ "2013", "7", "31" ] ] }, "page" : "1175-1182", "publisher" : "Elsevier Ltd", "title" : "Effects of internet-based training on antibiotic prescribing rates for acute respiratory-tract infections: a multinational, cluster, randomised, factorial, controlled trial.", "type" : "article-journal", "volume" : "382" }, "uris" : [ "http://www.mendeley.com/documents/?uuid=b4f74a7e-a133-46bd-af95-4f3cbb5c57ef" ] } ], "mendeley" : { "formattedCitation" : "&lt;sup&gt;27&lt;/sup&gt;", "plainTextFormattedCitation" : "27", "previouslyFormattedCitation" : "&lt;sup&gt;28&lt;/sup&gt;" }, "properties" : { "noteIndex" : 0 }, "schema" : "https://github.com/citation-style-language/schema/raw/master/csl-citation.json" }</w:instrText>
      </w:r>
      <w:r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27</w:t>
      </w:r>
      <w:r w:rsidRPr="000767AE">
        <w:rPr>
          <w:rFonts w:ascii="Arial" w:hAnsi="Arial" w:cs="Arial"/>
          <w:sz w:val="24"/>
          <w:szCs w:val="24"/>
          <w:lang w:val="en-US"/>
        </w:rPr>
        <w:fldChar w:fldCharType="end"/>
      </w:r>
      <w:r w:rsidRPr="000767AE">
        <w:rPr>
          <w:rFonts w:ascii="Arial" w:hAnsi="Arial" w:cs="Arial"/>
          <w:sz w:val="24"/>
          <w:szCs w:val="24"/>
          <w:lang w:val="en-US"/>
        </w:rPr>
        <w:t xml:space="preserve"> and secondary care.</w:t>
      </w:r>
      <w:r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"author" : [ { "dropping-particle" : "", "family" : "Davey", "given" : "P", "non-dropping-particle" : "", "parse-names" : false, "suffix" : "" }, { "dropping-particle" : "", "family" : "Brown", "given" : "E", "non-dropping-particle" : "", "parse-names" : false, "suffix" : "" }, { "dropping-particle" : "", "family" : "Charani", "given" : "E", "non-dropping-particle" : "", "parse-names" : false, "suffix" : "" }, { "dropping-particle" : "", "family" : "Fenelon", "given" : "L", "non-dropping-particle" : "", "parse-names" : false, "suffix" : "" }, { "dropping-particle" : "", "family" : "Gould", "given" : "IM", "non-dropping-particle" : "", "parse-names" : false, "suffix" : "" }, { "dropping-particle" : "", "family" : "Holmes", "given" : "AH", "non-dropping-particle" : "", "parse-names" : false, "suffix" : "" }, { "dropping-particle" : "", "family" : "Ramsay", "given" : "CR", "non-dropping-particle" : "", "parse-names" : false, "suffix" : "" }, { "dropping-particle" : "", "family" : "Wiffen", "given" : "PJ", "non-dropping-particle" : "", "parse-names" : false, "suffix" : "" } ], "container-title" : "The Cochrane Library", "id" : "ITEM-1", "issue" : "4", "issued" : { "date-parts" : [ [ "2013" ] ] }, "title" : "Interventions to improve antibiotic prescribing practices for hospital inpatients (Review)", "type" : "article-journal" }, "uris" : [ "http://www.mendeley.com/documents/?uuid=cee49f2c-087e-4fca-b258-189ce299e701" ] } ], "mendeley" : { "formattedCitation" : "&lt;sup&gt;28&lt;/sup&gt;", "plainTextFormattedCitation" : "28", "previouslyFormattedCitation" : "&lt;sup&gt;29&lt;/sup&gt;" }, "properties" : { "noteIndex" : 0 }, "schema" : "https://github.com/citation-style-language/schema/raw/master/csl-citation.json" }</w:instrText>
      </w:r>
      <w:r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28</w:t>
      </w:r>
      <w:r w:rsidRPr="000767AE">
        <w:rPr>
          <w:rFonts w:ascii="Arial" w:hAnsi="Arial" w:cs="Arial"/>
          <w:sz w:val="24"/>
          <w:szCs w:val="24"/>
          <w:lang w:val="en-US"/>
        </w:rPr>
        <w:fldChar w:fldCharType="end"/>
      </w:r>
      <w:r w:rsidRPr="000767AE">
        <w:rPr>
          <w:rFonts w:ascii="Arial" w:hAnsi="Arial" w:cs="Arial"/>
          <w:sz w:val="24"/>
          <w:szCs w:val="24"/>
          <w:lang w:val="en-US"/>
        </w:rPr>
        <w:t xml:space="preserve"> </w:t>
      </w:r>
      <w:r w:rsidR="000A6197" w:rsidRPr="000767AE">
        <w:rPr>
          <w:rFonts w:ascii="Arial" w:hAnsi="Arial" w:cs="Arial"/>
          <w:sz w:val="24"/>
          <w:szCs w:val="24"/>
          <w:lang w:val="en-US"/>
        </w:rPr>
        <w:t>A</w:t>
      </w:r>
      <w:r w:rsidRPr="000767AE">
        <w:rPr>
          <w:rFonts w:ascii="Arial" w:hAnsi="Arial" w:cs="Arial"/>
          <w:sz w:val="24"/>
          <w:szCs w:val="24"/>
          <w:lang w:val="en-US"/>
        </w:rPr>
        <w:t>dditionally, raising awareness of the fundamentals of antimicrobial use in the general public is equally essential.</w:t>
      </w:r>
      <w:r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"10.1093/jac/dks199", "ISBN" : "4484542250", "ISSN" : "1460-2091", "PMID" : "22855873", "abstract" : "In the winter of 2007-08 a new public-facing antimicrobial campaign was agreed by the Advisory Committee on Antimicrobial Resistance and Healthcare-Associated Infection (ARHAI) Education sub-Group (later divided into subgroups for professional and public education): it comprised posters with a positive message on how the public could help themselves when they had a cold. However, the poster campaign, used in isolation in England, did not improve antibiotic use; therefore, the Public Education sub-Group took forward educational approaches to change the behaviour of the public and health professionals. Professionals have been encouraged to give patients clear information about the likely duration of symptoms, self-care, and benefits and harms of antibiotics, reinforcing the public poster campaigns in surgeries, hospitals and pharmacies. Since 2008, campaigns have been launched in England to coincide with European Antibiotic Awareness Day (EAAD) on 18 November, using Department of Health and EAAD materials. Professional education has been facilitated by the 2008 National Institute for Health and Clinical Excellence respiratory tract infection delayed prescribing guidance for general practitioners. A toolkit of materials for medicines management teams, to facilitate good antimicrobial stewardship in primary care (ASPIC), is being taken forward by the Public Education sub-Group and professional societies. After advice from ARHAI, in 2009 the General Medical Council requested that all postgraduate deans and Royal Colleges ensure infection prevention and control and antimicrobial prescribing become standard practice implemented in all clinical settings, and that they are emphasized strongly in undergraduate and postgraduate medical training. ARHAI has also taken a keen interest in reviewing, advising and leading on a number of European Union initiatives dealing with professional education.", "author" : [ { "dropping-particle" : "", "family" : "McNulty", "given" : "Cliodna A M", "non-dropping-particle" : "", "parse-names" : false, "suffix" : "" }, { "dropping-particle" : "", "family" : "Cookson", "given" : "Barry D", "non-dropping-particle" : "", "parse-names" : false, "suffix" : "" }, { "dropping-particle" : "", "family" : "Lewis", "given" : "Michael A O", "non-dropping-particle" : "", "parse-names" : false, "suffix" : "" } ], "container-title" : "Journal of Antimicrobial Chemotherapy", "id" : "ITEM-1", "issue" : "Suppl 1", "issued" : { "date-parts" : [ [ "2012", "7" ] ] }, "page" : "11-8", "title" : "Education of healthcare professionals and the public.", "type" : "article-journal", "volume" : "67" }, "uris" : [ "http://www.mendeley.com/documents/?uuid=b4d8b5d9-ca7e-4516-8166-ef5b9bb6b21a" ] } ], "mendeley" : { "formattedCitation" : "&lt;sup&gt;29&lt;/sup&gt;", "plainTextFormattedCitation" : "29", "previouslyFormattedCitation" : "&lt;sup&gt;30&lt;/sup&gt;" }, "properties" : { "noteIndex" : 0 }, "schema" : "https://github.com/citation-style-language/schema/raw/master/csl-citation.json" }</w:instrText>
      </w:r>
      <w:r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29</w:t>
      </w:r>
      <w:r w:rsidRPr="000767AE">
        <w:rPr>
          <w:rFonts w:ascii="Arial" w:hAnsi="Arial" w:cs="Arial"/>
          <w:sz w:val="24"/>
          <w:szCs w:val="24"/>
          <w:lang w:val="en-US"/>
        </w:rPr>
        <w:fldChar w:fldCharType="end"/>
      </w:r>
    </w:p>
    <w:p w14:paraId="43330A2E" w14:textId="77777777" w:rsidR="00A053CE" w:rsidRPr="000767AE" w:rsidRDefault="00A053CE" w:rsidP="00A053CE">
      <w:pPr>
        <w:rPr>
          <w:rFonts w:ascii="Arial" w:hAnsi="Arial" w:cs="Arial"/>
          <w:sz w:val="24"/>
          <w:szCs w:val="24"/>
          <w:lang w:val="en-US"/>
        </w:rPr>
      </w:pPr>
    </w:p>
    <w:p w14:paraId="181A53E4" w14:textId="7CE2AB13" w:rsidR="005470EB" w:rsidRPr="000767AE" w:rsidRDefault="005470EB" w:rsidP="005470EB">
      <w:pPr>
        <w:rPr>
          <w:rFonts w:ascii="Arial" w:hAnsi="Arial" w:cs="Arial"/>
          <w:sz w:val="24"/>
          <w:szCs w:val="24"/>
          <w:lang w:val="en-US"/>
        </w:rPr>
      </w:pPr>
      <w:r w:rsidRPr="000767AE">
        <w:rPr>
          <w:rFonts w:ascii="Arial" w:hAnsi="Arial" w:cs="Arial"/>
          <w:sz w:val="24"/>
          <w:szCs w:val="24"/>
          <w:lang w:val="en-US"/>
        </w:rPr>
        <w:t xml:space="preserve">However, although the </w:t>
      </w:r>
      <w:r w:rsidR="00432D3B" w:rsidRPr="000767AE">
        <w:rPr>
          <w:rFonts w:ascii="Arial" w:hAnsi="Arial" w:cs="Arial"/>
          <w:sz w:val="24"/>
          <w:szCs w:val="24"/>
          <w:lang w:val="en-US"/>
        </w:rPr>
        <w:t>link</w:t>
      </w:r>
      <w:r w:rsidRPr="000767AE">
        <w:rPr>
          <w:rFonts w:ascii="Arial" w:hAnsi="Arial" w:cs="Arial"/>
          <w:sz w:val="24"/>
          <w:szCs w:val="24"/>
          <w:lang w:val="en-US"/>
        </w:rPr>
        <w:t xml:space="preserve"> between human antimicrobial use and resistance appears clear cut, th</w:t>
      </w:r>
      <w:r w:rsidR="00432D3B" w:rsidRPr="000767AE">
        <w:rPr>
          <w:rFonts w:ascii="Arial" w:hAnsi="Arial" w:cs="Arial"/>
          <w:sz w:val="24"/>
          <w:szCs w:val="24"/>
          <w:lang w:val="en-US"/>
        </w:rPr>
        <w:t>is</w:t>
      </w:r>
      <w:r w:rsidRPr="000767AE">
        <w:rPr>
          <w:rFonts w:ascii="Arial" w:hAnsi="Arial" w:cs="Arial"/>
          <w:sz w:val="24"/>
          <w:szCs w:val="24"/>
          <w:lang w:val="en-US"/>
        </w:rPr>
        <w:t xml:space="preserve"> relationship </w:t>
      </w:r>
      <w:r w:rsidR="00432D3B" w:rsidRPr="000767AE">
        <w:rPr>
          <w:rFonts w:ascii="Arial" w:hAnsi="Arial" w:cs="Arial"/>
          <w:sz w:val="24"/>
          <w:szCs w:val="24"/>
          <w:lang w:val="en-US"/>
        </w:rPr>
        <w:t>is complex</w:t>
      </w:r>
      <w:r w:rsidRPr="000767AE">
        <w:rPr>
          <w:rFonts w:ascii="Arial" w:hAnsi="Arial" w:cs="Arial"/>
          <w:sz w:val="24"/>
          <w:szCs w:val="24"/>
          <w:lang w:val="en-US"/>
        </w:rPr>
        <w:t>.</w:t>
      </w:r>
      <w:r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"10.1016/S0140-6736(05)17920-3", "ISSN" : "1474-547X", "PMID" : "15708081", "author" : [ { "dropping-particle" : "", "family" : "Turnidge", "given" : "John", "non-dropping-particle" : "", "parse-names" : false, "suffix" : "" }, { "dropping-particle" : "", "family" : "Christiansen", "given" : "Keryn", "non-dropping-particle" : "", "parse-names" : false, "suffix" : "" } ], "container-title" : "Lancet", "id" : "ITEM-1", "issue" : "9459", "issued" : { "date-parts" : [ [ "2005" ] ] }, "page" : "548-9", "title" : "Antibiotic use and resistance--proving the obvious.", "type" : "article-journal", "volume" : "365" }, "uris" : [ "http://www.mendeley.com/documents/?uuid=7b2d52dc-e7bb-4435-82af-ffc26e070b70" ] } ], "mendeley" : { "formattedCitation" : "&lt;sup&gt;30&lt;/sup&gt;", "plainTextFormattedCitation" : "30", "previouslyFormattedCitation" : "&lt;sup&gt;31&lt;/sup&gt;" }, "properties" : { "noteIndex" : 0 }, "schema" : "https://github.com/citation-style-language/schema/raw/master/csl-citation.json" }</w:instrText>
      </w:r>
      <w:r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30</w:t>
      </w:r>
      <w:r w:rsidRPr="000767AE">
        <w:rPr>
          <w:rFonts w:ascii="Arial" w:hAnsi="Arial" w:cs="Arial"/>
          <w:sz w:val="24"/>
          <w:szCs w:val="24"/>
          <w:lang w:val="en-US"/>
        </w:rPr>
        <w:fldChar w:fldCharType="end"/>
      </w:r>
      <w:r w:rsidRPr="000767AE">
        <w:rPr>
          <w:rFonts w:ascii="Arial" w:hAnsi="Arial" w:cs="Arial"/>
          <w:sz w:val="24"/>
          <w:szCs w:val="24"/>
          <w:lang w:val="en-US"/>
        </w:rPr>
        <w:t xml:space="preserve"> </w:t>
      </w:r>
      <w:r w:rsidR="00CE2B8A" w:rsidRPr="000767AE">
        <w:rPr>
          <w:rFonts w:ascii="Arial" w:hAnsi="Arial" w:cs="Arial"/>
          <w:sz w:val="24"/>
          <w:szCs w:val="24"/>
          <w:lang w:val="en-US"/>
        </w:rPr>
        <w:t>C</w:t>
      </w:r>
      <w:r w:rsidRPr="000767AE">
        <w:rPr>
          <w:rFonts w:ascii="Arial" w:hAnsi="Arial" w:cs="Arial"/>
          <w:sz w:val="24"/>
          <w:szCs w:val="24"/>
          <w:lang w:val="en-US"/>
        </w:rPr>
        <w:t xml:space="preserve">onfounding </w:t>
      </w:r>
      <w:r w:rsidR="00CE2B8A" w:rsidRPr="000767AE">
        <w:rPr>
          <w:rFonts w:ascii="Arial" w:hAnsi="Arial" w:cs="Arial"/>
          <w:sz w:val="24"/>
          <w:szCs w:val="24"/>
          <w:lang w:val="en-US"/>
        </w:rPr>
        <w:t xml:space="preserve">factors </w:t>
      </w:r>
      <w:r w:rsidR="00953A4F" w:rsidRPr="000767AE">
        <w:rPr>
          <w:rFonts w:ascii="Arial" w:hAnsi="Arial" w:cs="Arial"/>
          <w:sz w:val="24"/>
          <w:szCs w:val="24"/>
          <w:lang w:val="en-US"/>
        </w:rPr>
        <w:t xml:space="preserve">mean </w:t>
      </w:r>
      <w:r w:rsidR="00E73B22" w:rsidRPr="000767AE">
        <w:rPr>
          <w:rFonts w:ascii="Arial" w:hAnsi="Arial" w:cs="Arial"/>
          <w:sz w:val="24"/>
          <w:szCs w:val="24"/>
          <w:lang w:val="en-US"/>
        </w:rPr>
        <w:t>a uniform approach to understanding resistance cannot be taken</w:t>
      </w:r>
      <w:r w:rsidR="00432D3B" w:rsidRPr="000767AE">
        <w:rPr>
          <w:rFonts w:ascii="Arial" w:hAnsi="Arial" w:cs="Arial"/>
          <w:sz w:val="24"/>
          <w:szCs w:val="24"/>
          <w:lang w:val="en-US"/>
        </w:rPr>
        <w:t>. These include;</w:t>
      </w:r>
      <w:r w:rsidRPr="000767AE">
        <w:rPr>
          <w:rFonts w:ascii="Arial" w:hAnsi="Arial" w:cs="Arial"/>
          <w:sz w:val="24"/>
          <w:szCs w:val="24"/>
          <w:lang w:val="en-US"/>
        </w:rPr>
        <w:t xml:space="preserve"> pathogen-drug interactions, pathogen-host interactions, mutation rates of the pathogen, </w:t>
      </w:r>
      <w:r w:rsidR="00993455" w:rsidRPr="000767AE">
        <w:rPr>
          <w:rFonts w:ascii="Arial" w:hAnsi="Arial" w:cs="Arial"/>
          <w:sz w:val="24"/>
          <w:szCs w:val="24"/>
          <w:lang w:val="en-US"/>
        </w:rPr>
        <w:t xml:space="preserve">emergence of successful </w:t>
      </w:r>
      <w:r w:rsidR="00845258" w:rsidRPr="000767AE">
        <w:rPr>
          <w:rFonts w:ascii="Arial" w:hAnsi="Arial" w:cs="Arial"/>
          <w:sz w:val="24"/>
          <w:szCs w:val="24"/>
          <w:lang w:val="en-US"/>
        </w:rPr>
        <w:t xml:space="preserve">antimicrobial </w:t>
      </w:r>
      <w:r w:rsidR="00A207F8" w:rsidRPr="000767AE">
        <w:rPr>
          <w:rFonts w:ascii="Arial" w:hAnsi="Arial" w:cs="Arial"/>
          <w:sz w:val="24"/>
          <w:szCs w:val="24"/>
          <w:lang w:val="en-US"/>
        </w:rPr>
        <w:t xml:space="preserve">resistant </w:t>
      </w:r>
      <w:r w:rsidR="00993455" w:rsidRPr="000767AE">
        <w:rPr>
          <w:rFonts w:ascii="Arial" w:hAnsi="Arial" w:cs="Arial"/>
          <w:sz w:val="24"/>
          <w:szCs w:val="24"/>
          <w:lang w:val="en-US"/>
        </w:rPr>
        <w:t xml:space="preserve">clones, </w:t>
      </w:r>
      <w:r w:rsidRPr="000767AE">
        <w:rPr>
          <w:rFonts w:ascii="Arial" w:hAnsi="Arial" w:cs="Arial"/>
          <w:sz w:val="24"/>
          <w:szCs w:val="24"/>
          <w:lang w:val="en-US"/>
        </w:rPr>
        <w:t>the transmission rates of pathogen</w:t>
      </w:r>
      <w:r w:rsidR="00B13AE2" w:rsidRPr="000767AE">
        <w:rPr>
          <w:rFonts w:ascii="Arial" w:hAnsi="Arial" w:cs="Arial"/>
          <w:sz w:val="24"/>
          <w:szCs w:val="24"/>
          <w:lang w:val="en-US"/>
        </w:rPr>
        <w:t>s</w:t>
      </w:r>
      <w:r w:rsidRPr="000767AE">
        <w:rPr>
          <w:rFonts w:ascii="Arial" w:hAnsi="Arial" w:cs="Arial"/>
          <w:sz w:val="24"/>
          <w:szCs w:val="24"/>
          <w:lang w:val="en-US"/>
        </w:rPr>
        <w:t xml:space="preserve"> between humans, animals and the environment, </w:t>
      </w:r>
      <w:r w:rsidR="008737BB" w:rsidRPr="000767AE">
        <w:rPr>
          <w:rFonts w:ascii="Arial" w:hAnsi="Arial" w:cs="Arial"/>
          <w:sz w:val="24"/>
          <w:szCs w:val="24"/>
          <w:lang w:val="en-US"/>
        </w:rPr>
        <w:t xml:space="preserve">cross-resistance, </w:t>
      </w:r>
      <w:r w:rsidRPr="000767AE">
        <w:rPr>
          <w:rFonts w:ascii="Arial" w:hAnsi="Arial" w:cs="Arial"/>
          <w:sz w:val="24"/>
          <w:szCs w:val="24"/>
          <w:lang w:val="en-US"/>
        </w:rPr>
        <w:t>and selection</w:t>
      </w:r>
      <w:r w:rsidR="00FD4025" w:rsidRPr="000767AE">
        <w:rPr>
          <w:rFonts w:ascii="Arial" w:hAnsi="Arial" w:cs="Arial"/>
          <w:sz w:val="24"/>
          <w:szCs w:val="24"/>
          <w:lang w:val="en-US"/>
        </w:rPr>
        <w:t xml:space="preserve"> of co-resistance to unrelated drugs</w:t>
      </w:r>
      <w:r w:rsidRPr="000767AE">
        <w:rPr>
          <w:rFonts w:ascii="Arial" w:hAnsi="Arial" w:cs="Arial"/>
          <w:sz w:val="24"/>
          <w:szCs w:val="24"/>
          <w:lang w:val="en-US"/>
        </w:rPr>
        <w:t>. Importantly, at the human population level, public health factors such as rates of vaccine uptake</w:t>
      </w:r>
      <w:r w:rsidR="00A207F8" w:rsidRPr="000767AE">
        <w:rPr>
          <w:rFonts w:ascii="Arial" w:hAnsi="Arial" w:cs="Arial"/>
          <w:sz w:val="24"/>
          <w:szCs w:val="24"/>
          <w:lang w:val="en-US"/>
        </w:rPr>
        <w:t>,</w:t>
      </w:r>
      <w:r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"10.1016/S1473-3099(13)70356-6", "ISSN" : "1474-4457", "PMID" : "24287185", "author" : [ { "dropping-particle" : "", "family" : "Grijalva", "given" : "Carlos G", "non-dropping-particle" : "", "parse-names" : false, "suffix" : "" } ], "container-title" : "Lancet Infectious Diseases", "id" : "ITEM-1", "issue" : "3", "issued" : { "date-parts" : [ [ "2014", "3" ] ] }, "page" : "175-7", "title" : "Decrease in antibiotic use, an added benefit of PCVs.", "type" : "article-journal", "volume" : "14" }, "uris" : [ "http://www.mendeley.com/documents/?uuid=830686b4-878b-4e43-b503-a09ec2db5186" ] } ], "mendeley" : { "formattedCitation" : "&lt;sup&gt;31&lt;/sup&gt;", "plainTextFormattedCitation" : "31", "previouslyFormattedCitation" : "&lt;sup&gt;32&lt;/sup&gt;" }, "properties" : { "noteIndex" : 0 }, "schema" : "https://github.com/citation-style-language/schema/raw/master/csl-citation.json" }</w:instrText>
      </w:r>
      <w:r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31</w:t>
      </w:r>
      <w:r w:rsidRPr="000767AE">
        <w:rPr>
          <w:rFonts w:ascii="Arial" w:hAnsi="Arial" w:cs="Arial"/>
          <w:sz w:val="24"/>
          <w:szCs w:val="24"/>
          <w:lang w:val="en-US"/>
        </w:rPr>
        <w:fldChar w:fldCharType="end"/>
      </w:r>
      <w:r w:rsidR="002B7E66" w:rsidRPr="000767AE">
        <w:rPr>
          <w:rFonts w:ascii="Arial" w:hAnsi="Arial" w:cs="Arial"/>
          <w:sz w:val="24"/>
          <w:szCs w:val="24"/>
          <w:lang w:val="en-US"/>
        </w:rPr>
        <w:t xml:space="preserve"> different systems of health care, the role of migration and tourism</w:t>
      </w:r>
      <w:r w:rsidR="00B13AE2" w:rsidRPr="000767AE">
        <w:rPr>
          <w:rFonts w:ascii="Arial" w:hAnsi="Arial" w:cs="Arial"/>
          <w:sz w:val="24"/>
          <w:szCs w:val="24"/>
          <w:lang w:val="en-US"/>
        </w:rPr>
        <w:t>,</w:t>
      </w:r>
      <w:r w:rsidR="002B7E66" w:rsidRPr="000767AE">
        <w:rPr>
          <w:rFonts w:ascii="Arial" w:hAnsi="Arial" w:cs="Arial"/>
          <w:sz w:val="24"/>
          <w:szCs w:val="24"/>
          <w:lang w:val="en-US"/>
        </w:rPr>
        <w:t xml:space="preserve"> </w:t>
      </w:r>
      <w:r w:rsidR="00BC5746" w:rsidRPr="000767AE">
        <w:rPr>
          <w:rFonts w:ascii="Arial" w:hAnsi="Arial" w:cs="Arial"/>
          <w:sz w:val="24"/>
          <w:szCs w:val="24"/>
          <w:lang w:val="en-US"/>
        </w:rPr>
        <w:t xml:space="preserve">sanitation, </w:t>
      </w:r>
      <w:r w:rsidR="00C15E26" w:rsidRPr="000767AE">
        <w:rPr>
          <w:rFonts w:ascii="Arial" w:hAnsi="Arial" w:cs="Arial"/>
          <w:sz w:val="24"/>
          <w:szCs w:val="24"/>
          <w:lang w:val="en-US"/>
        </w:rPr>
        <w:t>and</w:t>
      </w:r>
      <w:r w:rsidRPr="000767AE">
        <w:rPr>
          <w:rFonts w:ascii="Arial" w:hAnsi="Arial" w:cs="Arial"/>
          <w:sz w:val="24"/>
          <w:szCs w:val="24"/>
          <w:lang w:val="en-US"/>
        </w:rPr>
        <w:t xml:space="preserve"> population densities</w:t>
      </w:r>
      <w:r w:rsidR="00C15E26" w:rsidRPr="000767AE">
        <w:rPr>
          <w:rFonts w:ascii="Arial" w:hAnsi="Arial" w:cs="Arial"/>
          <w:sz w:val="24"/>
          <w:szCs w:val="24"/>
          <w:lang w:val="en-US"/>
        </w:rPr>
        <w:t>,</w:t>
      </w:r>
      <w:r w:rsidRPr="000767AE">
        <w:rPr>
          <w:rFonts w:ascii="Arial" w:hAnsi="Arial" w:cs="Arial"/>
          <w:sz w:val="24"/>
          <w:szCs w:val="24"/>
          <w:lang w:val="en-US"/>
        </w:rPr>
        <w:t xml:space="preserve"> also influence the prevalence of resistance.</w:t>
      </w:r>
      <w:r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"10.1016/S0140-6736(05)17920-3", "ISSN" : "1474-547X", "PMID" : "15708081", "author" : [ { "dropping-particle" : "", "family" : "Turnidge", "given" : "John", "non-dropping-particle" : "", "parse-names" : false, "suffix" : "" }, { "dropping-particle" : "", "family" : "Christiansen", "given" : "Keryn", "non-dropping-particle" : "", "parse-names" : false, "suffix" : "" } ], "container-title" : "Lancet", "id" : "ITEM-1", "issue" : "9459", "issued" : { "date-parts" : [ [ "2005" ] ] }, "page" : "548-9", "title" : "Antibiotic use and resistance--proving the obvious.", "type" : "article-journal", "volume" : "365" }, "uris" : [ "http://www.mendeley.com/documents/?uuid=7b2d52dc-e7bb-4435-82af-ffc26e070b70" ] } ], "mendeley" : { "formattedCitation" : "&lt;sup&gt;30&lt;/sup&gt;", "plainTextFormattedCitation" : "30", "previouslyFormattedCitation" : "&lt;sup&gt;31&lt;/sup&gt;" }, "properties" : { "noteIndex" : 0 }, "schema" : "https://github.com/citation-style-language/schema/raw/master/csl-citation.json" }</w:instrText>
      </w:r>
      <w:r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30</w:t>
      </w:r>
      <w:r w:rsidRPr="000767AE">
        <w:rPr>
          <w:rFonts w:ascii="Arial" w:hAnsi="Arial" w:cs="Arial"/>
          <w:sz w:val="24"/>
          <w:szCs w:val="24"/>
          <w:lang w:val="en-US"/>
        </w:rPr>
        <w:fldChar w:fldCharType="end"/>
      </w:r>
      <w:r w:rsidRPr="000767AE">
        <w:rPr>
          <w:rFonts w:ascii="Arial" w:hAnsi="Arial" w:cs="Arial"/>
          <w:sz w:val="24"/>
          <w:szCs w:val="24"/>
          <w:lang w:val="en-US"/>
        </w:rPr>
        <w:t xml:space="preserve"> </w:t>
      </w:r>
    </w:p>
    <w:p w14:paraId="451108C0" w14:textId="77777777" w:rsidR="005470EB" w:rsidRPr="000767AE" w:rsidRDefault="005470EB" w:rsidP="00A053CE">
      <w:pPr>
        <w:rPr>
          <w:rFonts w:ascii="Arial" w:hAnsi="Arial" w:cs="Arial"/>
          <w:sz w:val="24"/>
          <w:szCs w:val="24"/>
          <w:lang w:val="en-US"/>
        </w:rPr>
      </w:pPr>
    </w:p>
    <w:p w14:paraId="39898D0F" w14:textId="00B57673" w:rsidR="00A053CE" w:rsidRPr="000767AE" w:rsidRDefault="00A053CE" w:rsidP="00A053CE">
      <w:pPr>
        <w:rPr>
          <w:rFonts w:ascii="Arial" w:hAnsi="Arial" w:cs="Arial"/>
          <w:sz w:val="24"/>
          <w:szCs w:val="24"/>
          <w:lang w:val="en-US"/>
        </w:rPr>
      </w:pPr>
      <w:r w:rsidRPr="000767AE">
        <w:rPr>
          <w:rFonts w:ascii="Arial" w:hAnsi="Arial" w:cs="Arial"/>
          <w:sz w:val="24"/>
          <w:szCs w:val="24"/>
        </w:rPr>
        <w:t>There is also evidence that more antimicrobials are used in food production than in human</w:t>
      </w:r>
      <w:r w:rsidRPr="001A57DF">
        <w:rPr>
          <w:rFonts w:ascii="Arial" w:hAnsi="Arial" w:cs="Arial"/>
          <w:sz w:val="24"/>
          <w:szCs w:val="24"/>
          <w:highlight w:val="yellow"/>
        </w:rPr>
        <w:t>s</w:t>
      </w:r>
      <w:r w:rsidR="001A57DF" w:rsidRPr="001A57DF">
        <w:rPr>
          <w:rFonts w:ascii="Arial" w:hAnsi="Arial" w:cs="Arial"/>
          <w:sz w:val="24"/>
          <w:szCs w:val="24"/>
          <w:highlight w:val="yellow"/>
        </w:rPr>
        <w:t>,</w:t>
      </w:r>
      <w:r w:rsidR="001A57DF" w:rsidRPr="001A57DF">
        <w:rPr>
          <w:rFonts w:ascii="Arial" w:hAnsi="Arial" w:cs="Arial"/>
          <w:sz w:val="24"/>
          <w:szCs w:val="24"/>
          <w:highlight w:val="yellow"/>
        </w:rPr>
        <w:fldChar w:fldCharType="begin" w:fldLock="1"/>
      </w:r>
      <w:r w:rsidR="009E0BAE">
        <w:rPr>
          <w:rFonts w:ascii="Arial" w:hAnsi="Arial" w:cs="Arial"/>
          <w:sz w:val="24"/>
          <w:szCs w:val="24"/>
          <w:highlight w:val="yellow"/>
        </w:rPr>
        <w:instrText>ADDIN CSL_CITATION { "citationItems" : [ { "id" : "ITEM-1", "itemData" : { "author" : [ { "dropping-particle" : "", "family" : "World Health Organization", "given" : "", "non-dropping-particle" : "", "parse-names" : false, "suffix" : "" } ], "container-title" : "2012", "id" : "ITEM-1", "issued" : { "date-parts" : [ [ "2012" ] ] }, "publisher-place" : "Geneva", "title" : "The evolving threat of antimicrobial resistance: Options for action", "type" : "report" }, "uris" : [ "http://www.mendeley.com/documents/?uuid=d7dc2532-070a-4f17-a252-61a578e46efa" ] } ], "mendeley" : { "formattedCitation" : "&lt;sup&gt;22&lt;/sup&gt;", "plainTextFormattedCitation" : "22", "previouslyFormattedCitation" : "&lt;sup&gt;23&lt;/sup&gt;" }, "properties" : { "noteIndex" : 0 }, "schema" : "https://github.com/citation-style-language/schema/raw/master/csl-citation.json" }</w:instrText>
      </w:r>
      <w:r w:rsidR="001A57DF" w:rsidRPr="001A57DF">
        <w:rPr>
          <w:rFonts w:ascii="Arial" w:hAnsi="Arial" w:cs="Arial"/>
          <w:sz w:val="24"/>
          <w:szCs w:val="24"/>
          <w:highlight w:val="yellow"/>
        </w:rPr>
        <w:fldChar w:fldCharType="separate"/>
      </w:r>
      <w:r w:rsidR="009E0BAE" w:rsidRPr="009E0BAE">
        <w:rPr>
          <w:rFonts w:ascii="Arial" w:hAnsi="Arial" w:cs="Arial"/>
          <w:noProof/>
          <w:sz w:val="24"/>
          <w:szCs w:val="24"/>
          <w:highlight w:val="yellow"/>
          <w:vertAlign w:val="superscript"/>
        </w:rPr>
        <w:t>22</w:t>
      </w:r>
      <w:r w:rsidR="001A57DF" w:rsidRPr="001A57DF">
        <w:rPr>
          <w:rFonts w:ascii="Arial" w:hAnsi="Arial" w:cs="Arial"/>
          <w:sz w:val="24"/>
          <w:szCs w:val="24"/>
          <w:highlight w:val="yellow"/>
        </w:rPr>
        <w:fldChar w:fldCharType="end"/>
      </w:r>
      <w:r w:rsidR="001A57DF">
        <w:rPr>
          <w:rFonts w:ascii="Arial" w:hAnsi="Arial" w:cs="Arial"/>
          <w:sz w:val="24"/>
          <w:szCs w:val="24"/>
        </w:rPr>
        <w:t xml:space="preserve"> </w:t>
      </w:r>
      <w:r w:rsidRPr="000767AE">
        <w:rPr>
          <w:rFonts w:ascii="Arial" w:hAnsi="Arial" w:cs="Arial"/>
          <w:sz w:val="24"/>
          <w:szCs w:val="24"/>
        </w:rPr>
        <w:t>with marked national differences in the amount of antimicrobial agents used in food producing animals, varying a hundred fold from 4-400 mg antimicrobial per</w:t>
      </w:r>
      <w:r w:rsidR="00376F82" w:rsidRPr="000767AE">
        <w:rPr>
          <w:rFonts w:ascii="Arial" w:hAnsi="Arial" w:cs="Arial"/>
          <w:sz w:val="24"/>
          <w:szCs w:val="24"/>
        </w:rPr>
        <w:t xml:space="preserve"> </w:t>
      </w:r>
      <w:r w:rsidRPr="000767AE">
        <w:rPr>
          <w:rFonts w:ascii="Arial" w:hAnsi="Arial" w:cs="Arial"/>
          <w:sz w:val="24"/>
          <w:szCs w:val="24"/>
        </w:rPr>
        <w:t>k</w:t>
      </w:r>
      <w:r w:rsidR="00376F82" w:rsidRPr="000767AE">
        <w:rPr>
          <w:rFonts w:ascii="Arial" w:hAnsi="Arial" w:cs="Arial"/>
          <w:sz w:val="24"/>
          <w:szCs w:val="24"/>
        </w:rPr>
        <w:t>ilo</w:t>
      </w:r>
      <w:r w:rsidRPr="000767AE">
        <w:rPr>
          <w:rFonts w:ascii="Arial" w:hAnsi="Arial" w:cs="Arial"/>
          <w:sz w:val="24"/>
          <w:szCs w:val="24"/>
        </w:rPr>
        <w:t>g</w:t>
      </w:r>
      <w:r w:rsidR="00376F82" w:rsidRPr="000767AE">
        <w:rPr>
          <w:rFonts w:ascii="Arial" w:hAnsi="Arial" w:cs="Arial"/>
          <w:sz w:val="24"/>
          <w:szCs w:val="24"/>
        </w:rPr>
        <w:t xml:space="preserve">ram </w:t>
      </w:r>
      <w:r w:rsidR="00EE3C77" w:rsidRPr="000767AE">
        <w:rPr>
          <w:rFonts w:ascii="Arial" w:hAnsi="Arial" w:cs="Arial"/>
          <w:sz w:val="24"/>
          <w:szCs w:val="24"/>
        </w:rPr>
        <w:t xml:space="preserve">of meat produced </w:t>
      </w:r>
      <w:r w:rsidRPr="000767AE">
        <w:rPr>
          <w:rFonts w:ascii="Arial" w:hAnsi="Arial" w:cs="Arial"/>
          <w:sz w:val="24"/>
          <w:szCs w:val="24"/>
        </w:rPr>
        <w:t>among European countries.</w:t>
      </w:r>
      <w:r w:rsidRPr="000767AE">
        <w:rPr>
          <w:rFonts w:ascii="Arial" w:hAnsi="Arial" w:cs="Arial"/>
          <w:sz w:val="24"/>
          <w:szCs w:val="24"/>
        </w:rPr>
        <w:fldChar w:fldCharType="begin" w:fldLock="1"/>
      </w:r>
      <w:r w:rsidR="009E0BAE">
        <w:rPr>
          <w:rFonts w:ascii="Arial" w:hAnsi="Arial" w:cs="Arial"/>
          <w:sz w:val="24"/>
          <w:szCs w:val="24"/>
        </w:rPr>
        <w:instrText>ADDIN CSL_CITATION { "citationItems" : [ { "id" : "ITEM-1", "itemData" : { "DOI" : "EMA/236501/2013", "author" : [ { "dropping-particle" : "", "family" : "European Medicines Agency: European Surveillance of Vetinary Antimicrobial Consumption.", "given" : "", "non-dropping-particle" : "", "parse-names" : false, "suffix" : "" } ], "id" : "ITEM-1", "issued" : { "date-parts" : [ [ "2013" ] ] }, "publisher-place" : "London", "title" : "Sales of veterinary antimicrobial agents in 25 EU / EEA countries. Third ESVAC report", "type" : "report" }, "uris" : [ "http://www.mendeley.com/documents/?uuid=822afff7-d435-4d01-8b12-436ecb66f95a" ] } ], "mendeley" : { "formattedCitation" : "&lt;sup&gt;32&lt;/sup&gt;", "plainTextFormattedCitation" : "32", "previouslyFormattedCitation" : "&lt;sup&gt;33&lt;/sup&gt;" }, "properties" : { "noteIndex" : 0 }, "schema" : "https://github.com/citation-style-language/schema/raw/master/csl-citation.json" }</w:instrText>
      </w:r>
      <w:r w:rsidRPr="000767AE">
        <w:rPr>
          <w:rFonts w:ascii="Arial" w:hAnsi="Arial" w:cs="Arial"/>
          <w:sz w:val="24"/>
          <w:szCs w:val="24"/>
        </w:rPr>
        <w:fldChar w:fldCharType="separate"/>
      </w:r>
      <w:r w:rsidR="009E0BAE" w:rsidRPr="009E0BAE">
        <w:rPr>
          <w:rFonts w:ascii="Arial" w:hAnsi="Arial" w:cs="Arial"/>
          <w:noProof/>
          <w:sz w:val="24"/>
          <w:szCs w:val="24"/>
          <w:vertAlign w:val="superscript"/>
        </w:rPr>
        <w:t>32</w:t>
      </w:r>
      <w:r w:rsidRPr="000767AE">
        <w:rPr>
          <w:rFonts w:ascii="Arial" w:hAnsi="Arial" w:cs="Arial"/>
          <w:sz w:val="24"/>
          <w:szCs w:val="24"/>
        </w:rPr>
        <w:fldChar w:fldCharType="end"/>
      </w:r>
      <w:r w:rsidRPr="000767AE">
        <w:rPr>
          <w:rFonts w:ascii="Arial" w:hAnsi="Arial" w:cs="Arial"/>
          <w:sz w:val="24"/>
          <w:szCs w:val="24"/>
        </w:rPr>
        <w:t xml:space="preserve"> </w:t>
      </w:r>
      <w:r w:rsidRPr="000767AE">
        <w:rPr>
          <w:rFonts w:ascii="Arial" w:hAnsi="Arial" w:cs="Arial"/>
          <w:sz w:val="24"/>
          <w:szCs w:val="24"/>
          <w:lang w:val="en-US"/>
        </w:rPr>
        <w:t xml:space="preserve">Various studies have demonstrated that </w:t>
      </w:r>
      <w:r w:rsidR="00427F57" w:rsidRPr="000767AE">
        <w:rPr>
          <w:rFonts w:ascii="Arial" w:hAnsi="Arial" w:cs="Arial"/>
          <w:sz w:val="24"/>
          <w:szCs w:val="24"/>
          <w:lang w:val="en-US"/>
        </w:rPr>
        <w:t>AMR</w:t>
      </w:r>
      <w:r w:rsidRPr="000767AE">
        <w:rPr>
          <w:rFonts w:ascii="Arial" w:hAnsi="Arial" w:cs="Arial"/>
          <w:sz w:val="24"/>
          <w:szCs w:val="24"/>
          <w:lang w:val="en-US"/>
        </w:rPr>
        <w:t xml:space="preserve"> has, at least in part, emerged as a consequence of the selective pressure exerted by antimicrobial use outside of human medicine, namely in veterinary medicine,</w:t>
      </w:r>
      <w:r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"ISSN" : "0042-4900", "PMID" : "15461362", "abstract" : "A database of the prescriptions of antimicrobial drugs for the treatment of common infectious diseases in dogs at the Finnish Veterinary Teaching Hospital was searched to determine to what extent national guidelines were being followed. Twenty-two per cent of 5918 dogs were treated orally with antimicrobial drugs. The most commonly used drugs were beta-lactams (49 per cent) of which cephalexin and amoxycillin-clavulanate were most widely prescribed. The usage of fluoroquinolones was only 2.8 per cent. The prescription of antimicrobials for pyoderma was contrary to Finnish guidelines, but the use of cephalexin or amoxycillin-clavulanate as first-line drugs instead of macrolides or lincosamides or trimethoprim-sulphonamides was acceptable because of the presence of resistance by canine staphylococci. The drug most commonly used to treat acute urinary tract infections was trimethoprim-sulphonamide, in agreement with the guidelines. Antimicrobial drugs were used excessively after surgical procedures, and for treating acute gastrointestinal disturbances and small wounds and traumas.", "author" : [ { "dropping-particle" : "", "family" : "Rantala", "given" : "M", "non-dropping-particle" : "", "parse-names" : false, "suffix" : "" }, { "dropping-particle" : "", "family" : "H\u00f6ls\u00f6", "given" : "K", "non-dropping-particle" : "", "parse-names" : false, "suffix" : "" }, { "dropping-particle" : "", "family" : "Lillas", "given" : "A", "non-dropping-particle" : "", "parse-names" : false, "suffix" : "" }, { "dropping-particle" : "", "family" : "Huovinen", "given" : "P", "non-dropping-particle" : "", "parse-names" : false, "suffix" : "" }, { "dropping-particle" : "", "family" : "Kaartinen", "given" : "L", "non-dropping-particle" : "", "parse-names" : false, "suffix" : "" } ], "container-title" : "The Veterinary Record", "id" : "ITEM-1", "issue" : "9", "issued" : { "date-parts" : [ [ "2004", "8", "28" ] ] }, "page" : "259-62", "title" : "Survey of condition-based prescribing of antimicrobial drugs for dogs at a veterinary teaching hospital.", "type" : "article-journal", "volume" : "155" }, "uris" : [ "http://www.mendeley.com/documents/?uuid=2a995f22-6b18-4afb-a27b-d5c54eda747e" ] } ], "mendeley" : { "formattedCitation" : "&lt;sup&gt;33&lt;/sup&gt;", "plainTextFormattedCitation" : "33", "previouslyFormattedCitation" : "&lt;sup&gt;34&lt;/sup&gt;" }, "properties" : { "noteIndex" : 0 }, "schema" : "https://github.com/citation-style-language/schema/raw/master/csl-citation.json" }</w:instrText>
      </w:r>
      <w:r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33</w:t>
      </w:r>
      <w:r w:rsidRPr="000767AE">
        <w:rPr>
          <w:rFonts w:ascii="Arial" w:hAnsi="Arial" w:cs="Arial"/>
          <w:sz w:val="24"/>
          <w:szCs w:val="24"/>
          <w:lang w:val="en-US"/>
        </w:rPr>
        <w:fldChar w:fldCharType="end"/>
      </w:r>
      <w:r w:rsidRPr="000767AE">
        <w:rPr>
          <w:rFonts w:ascii="Arial" w:hAnsi="Arial" w:cs="Arial"/>
          <w:sz w:val="24"/>
          <w:szCs w:val="24"/>
          <w:lang w:val="en-US"/>
        </w:rPr>
        <w:t xml:space="preserve"> </w:t>
      </w:r>
      <w:r w:rsidR="00A207F8" w:rsidRPr="000767AE">
        <w:rPr>
          <w:rFonts w:ascii="Arial" w:hAnsi="Arial" w:cs="Arial"/>
          <w:sz w:val="24"/>
          <w:szCs w:val="24"/>
          <w:lang w:val="en-US"/>
        </w:rPr>
        <w:t>food-</w:t>
      </w:r>
      <w:r w:rsidRPr="000767AE">
        <w:rPr>
          <w:rFonts w:ascii="Arial" w:hAnsi="Arial" w:cs="Arial"/>
          <w:sz w:val="24"/>
          <w:szCs w:val="24"/>
          <w:lang w:val="en-US"/>
        </w:rPr>
        <w:t xml:space="preserve">animal </w:t>
      </w:r>
      <w:r w:rsidR="00A207F8" w:rsidRPr="000767AE">
        <w:rPr>
          <w:rFonts w:ascii="Arial" w:hAnsi="Arial" w:cs="Arial"/>
          <w:sz w:val="24"/>
          <w:szCs w:val="24"/>
          <w:lang w:val="en-US"/>
        </w:rPr>
        <w:t xml:space="preserve">and fish </w:t>
      </w:r>
      <w:r w:rsidRPr="000767AE">
        <w:rPr>
          <w:rFonts w:ascii="Arial" w:hAnsi="Arial" w:cs="Arial"/>
          <w:sz w:val="24"/>
          <w:szCs w:val="24"/>
          <w:lang w:val="en-US"/>
        </w:rPr>
        <w:t>production,</w:t>
      </w:r>
      <w:r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"ISSN" : "0924-8579", "PMID" : "11397611", "abstract" : "Antimicrobial resistance is a growing area of concern in both human and veterinary medicine. This review presents an overview of the use of antimicrobial agents in animals for therapeutic, metaphylactic, prophylactic and growth promotion purposes. In addition, factors favouring resistance development and transfer of resistance genes between different bacteria, as well as transfer of resistant bacteria between different hosts, are described with particular reference to the role of animals as a reservoir of resistance genes or resistant bacterial pathogens which may cause diseases in humans.", "author" : [ { "dropping-particle" : "", "family" : "Schwarz", "given" : "S", "non-dropping-particle" : "", "parse-names" : false, "suffix" : "" }, { "dropping-particle" : "", "family" : "Kehrenberg", "given" : "C", "non-dropping-particle" : "", "parse-names" : false, "suffix" : "" }, { "dropping-particle" : "", "family" : "Walsh", "given" : "T R", "non-dropping-particle" : "", "parse-names" : false, "suffix" : "" } ], "container-title" : "International Journal of Antimicrobial Agents", "id" : "ITEM-1", "issue" : "6", "issued" : { "date-parts" : [ [ "2001", "6" ] ] }, "page" : "431-7", "title" : "Use of antimicrobial agents in veterinary medicine and food animal production.", "type" : "article-journal", "volume" : "17" }, "uris" : [ "http://www.mendeley.com/documents/?uuid=c06e1199-1e7b-4a4e-9990-7fa15d326eb2" ] } ], "mendeley" : { "formattedCitation" : "&lt;sup&gt;34&lt;/sup&gt;", "plainTextFormattedCitation" : "34", "previouslyFormattedCitation" : "&lt;sup&gt;35&lt;/sup&gt;" }, "properties" : { "noteIndex" : 0 }, "schema" : "https://github.com/citation-style-language/schema/raw/master/csl-citation.json" }</w:instrText>
      </w:r>
      <w:r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34</w:t>
      </w:r>
      <w:r w:rsidRPr="000767AE">
        <w:rPr>
          <w:rFonts w:ascii="Arial" w:hAnsi="Arial" w:cs="Arial"/>
          <w:sz w:val="24"/>
          <w:szCs w:val="24"/>
          <w:lang w:val="en-US"/>
        </w:rPr>
        <w:fldChar w:fldCharType="end"/>
      </w:r>
      <w:r w:rsidR="00A207F8" w:rsidRPr="000767AE">
        <w:rPr>
          <w:rFonts w:ascii="Arial" w:hAnsi="Arial" w:cs="Arial"/>
          <w:sz w:val="24"/>
          <w:szCs w:val="24"/>
          <w:vertAlign w:val="superscript"/>
          <w:lang w:val="en-US"/>
        </w:rPr>
        <w:t>,</w:t>
      </w:r>
      <w:r w:rsidR="00A207F8"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"10.1111/j.1462-2920.2006.01054.x", "ISSN" : "1462-2912", "PMID" : "16817922", "abstract" : "The accelerated growth of finfish aquaculture has resulted in a series of developments detrimental to the environment and human health. The latter is illustrated by the widespread and unrestricted use of prophylactic antibiotics in this industry, especially in developing countries, to forestall bacterial infections resulting from sanitary shortcomings in fish rearing. The use of a wide variety of antibiotics in large amounts, including non-biodegradable antibiotics useful in human medicine, ensures that they remain in the aquatic environment, exerting their selective pressure for long periods of time. This process has resulted in the emergence of antibiotic-resistant bacteria in aquaculture environments, in the increase of antibiotic resistance in fish pathogens, in the transfer of these resistance determinants to bacteria of land animals and to human pathogens, and in alterations of the bacterial flora both in sediments and in the water column. The use of large amounts of antibiotics that have to be mixed with fish food also creates problems for industrial health and increases the opportunities for the presence of residual antibiotics in fish meat and fish products. Thus, it appears that global efforts are needed to promote more judicious use of prophylactic antibiotics in aquaculture as accumulating evidence indicates that unrestricted use is detrimental to fish, terrestrial animals, and human health and the environment.", "author" : [ { "dropping-particle" : "", "family" : "Cabello", "given" : "Felipe C", "non-dropping-particle" : "", "parse-names" : false, "suffix" : "" } ], "container-title" : "Environmental Microbiology", "id" : "ITEM-1", "issue" : "7", "issued" : { "date-parts" : [ [ "2006", "7" ] ] }, "page" : "1137-44", "title" : "Heavy use of prophylactic antibiotics in aquaculture: a growing problem for human and animal health and for the environment.", "type" : "article-journal", "volume" : "8" }, "uris" : [ "http://www.mendeley.com/documents/?uuid=c3be0b8a-4ba6-4828-ae1f-958373a94103" ] } ], "mendeley" : { "formattedCitation" : "&lt;sup&gt;35&lt;/sup&gt;", "plainTextFormattedCitation" : "35", "previouslyFormattedCitation" : "&lt;sup&gt;36&lt;/sup&gt;" }, "properties" : { "noteIndex" : 0 }, "schema" : "https://github.com/citation-style-language/schema/raw/master/csl-citation.json" }</w:instrText>
      </w:r>
      <w:r w:rsidR="00A207F8"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35</w:t>
      </w:r>
      <w:r w:rsidR="00A207F8" w:rsidRPr="000767AE">
        <w:rPr>
          <w:rFonts w:ascii="Arial" w:hAnsi="Arial" w:cs="Arial"/>
          <w:sz w:val="24"/>
          <w:szCs w:val="24"/>
          <w:lang w:val="en-US"/>
        </w:rPr>
        <w:fldChar w:fldCharType="end"/>
      </w:r>
      <w:r w:rsidR="00A207F8" w:rsidRPr="000767AE">
        <w:rPr>
          <w:rFonts w:ascii="Arial" w:hAnsi="Arial" w:cs="Arial"/>
          <w:sz w:val="24"/>
          <w:szCs w:val="24"/>
          <w:lang w:val="en-US"/>
        </w:rPr>
        <w:t xml:space="preserve"> </w:t>
      </w:r>
      <w:r w:rsidR="00CE2B8A" w:rsidRPr="000767AE">
        <w:rPr>
          <w:rFonts w:ascii="Arial" w:hAnsi="Arial" w:cs="Arial"/>
          <w:sz w:val="24"/>
          <w:szCs w:val="24"/>
          <w:lang w:val="en-US"/>
        </w:rPr>
        <w:t xml:space="preserve">and </w:t>
      </w:r>
      <w:r w:rsidR="00A207F8" w:rsidRPr="000767AE">
        <w:rPr>
          <w:rFonts w:ascii="Arial" w:hAnsi="Arial" w:cs="Arial"/>
          <w:sz w:val="24"/>
          <w:szCs w:val="24"/>
          <w:lang w:val="en-US"/>
        </w:rPr>
        <w:t>agriculture</w:t>
      </w:r>
      <w:r w:rsidR="00A207F8" w:rsidRPr="00C55EAF">
        <w:rPr>
          <w:rFonts w:ascii="Arial" w:hAnsi="Arial" w:cs="Arial"/>
          <w:sz w:val="24"/>
          <w:szCs w:val="24"/>
          <w:highlight w:val="yellow"/>
          <w:lang w:val="en-US"/>
        </w:rPr>
        <w:t>.</w:t>
      </w:r>
      <w:r w:rsidR="00FE1E56">
        <w:rPr>
          <w:rFonts w:ascii="Arial" w:hAnsi="Arial" w:cs="Arial"/>
          <w:sz w:val="24"/>
          <w:szCs w:val="24"/>
          <w:highlight w:val="yellow"/>
          <w:lang w:val="en-US"/>
        </w:rPr>
        <w:fldChar w:fldCharType="begin" w:fldLock="1"/>
      </w:r>
      <w:r w:rsidR="009E0BAE">
        <w:rPr>
          <w:rFonts w:ascii="Arial" w:hAnsi="Arial" w:cs="Arial"/>
          <w:sz w:val="24"/>
          <w:szCs w:val="24"/>
          <w:highlight w:val="yellow"/>
          <w:lang w:val="en-US"/>
        </w:rPr>
        <w:instrText>ADDIN CSL_CITATION { "citationItems" : [ { "id" : "ITEM-1", "itemData" : { "author" : [ { "dropping-particle" : "", "family" : "World Health Organization", "given" : "", "non-dropping-particle" : "", "parse-names" : false, "suffix" : "" } ], "container-title" : "2012", "id" : "ITEM-1", "issued" : { "date-parts" : [ [ "2012" ] ] }, "publisher-place" : "Geneva", "title" : "The evolving threat of antimicrobial resistance: Options for action", "type" : "report" }, "uris" : [ "http://www.mendeley.com/documents/?uuid=d7dc2532-070a-4f17-a252-61a578e46efa" ] } ], "mendeley" : { "formattedCitation" : "&lt;sup&gt;22&lt;/sup&gt;", "plainTextFormattedCitation" : "22", "previouslyFormattedCitation" : "&lt;sup&gt;23&lt;/sup&gt;" }, "properties" : { "noteIndex" : 0 }, "schema" : "https://github.com/citation-style-language/schema/raw/master/csl-citation.json" }</w:instrText>
      </w:r>
      <w:r w:rsidR="00FE1E56">
        <w:rPr>
          <w:rFonts w:ascii="Arial" w:hAnsi="Arial" w:cs="Arial"/>
          <w:sz w:val="24"/>
          <w:szCs w:val="24"/>
          <w:highlight w:val="yellow"/>
          <w:lang w:val="en-US"/>
        </w:rPr>
        <w:fldChar w:fldCharType="separate"/>
      </w:r>
      <w:r w:rsidR="009E0BAE" w:rsidRPr="009E0BAE">
        <w:rPr>
          <w:rFonts w:ascii="Arial" w:hAnsi="Arial" w:cs="Arial"/>
          <w:noProof/>
          <w:sz w:val="24"/>
          <w:szCs w:val="24"/>
          <w:highlight w:val="yellow"/>
          <w:vertAlign w:val="superscript"/>
          <w:lang w:val="en-US"/>
        </w:rPr>
        <w:t>22</w:t>
      </w:r>
      <w:r w:rsidR="00FE1E56">
        <w:rPr>
          <w:rFonts w:ascii="Arial" w:hAnsi="Arial" w:cs="Arial"/>
          <w:sz w:val="24"/>
          <w:szCs w:val="24"/>
          <w:highlight w:val="yellow"/>
          <w:lang w:val="en-US"/>
        </w:rPr>
        <w:fldChar w:fldCharType="end"/>
      </w:r>
      <w:r w:rsidR="001A57DF" w:rsidRPr="000767AE">
        <w:rPr>
          <w:rFonts w:ascii="Arial" w:hAnsi="Arial" w:cs="Arial"/>
          <w:sz w:val="24"/>
          <w:szCs w:val="24"/>
          <w:lang w:val="en-US"/>
        </w:rPr>
        <w:t xml:space="preserve"> </w:t>
      </w:r>
    </w:p>
    <w:p w14:paraId="6CF55416" w14:textId="77777777" w:rsidR="00A053CE" w:rsidRPr="000767AE" w:rsidRDefault="00A053CE" w:rsidP="00A053CE">
      <w:pPr>
        <w:rPr>
          <w:rFonts w:ascii="Arial" w:hAnsi="Arial" w:cs="Arial"/>
          <w:sz w:val="24"/>
          <w:szCs w:val="24"/>
          <w:lang w:val="en-US"/>
        </w:rPr>
      </w:pPr>
    </w:p>
    <w:p w14:paraId="1AA7AF74" w14:textId="7AAD994F" w:rsidR="00A053CE" w:rsidRPr="000767AE" w:rsidRDefault="00432D3B" w:rsidP="00A053CE">
      <w:pPr>
        <w:rPr>
          <w:rFonts w:ascii="Arial" w:hAnsi="Arial" w:cs="Arial"/>
          <w:sz w:val="24"/>
          <w:szCs w:val="24"/>
          <w:lang w:val="en-US"/>
        </w:rPr>
      </w:pPr>
      <w:r w:rsidRPr="000767AE">
        <w:rPr>
          <w:rFonts w:ascii="Arial" w:hAnsi="Arial" w:cs="Arial"/>
          <w:sz w:val="24"/>
          <w:szCs w:val="24"/>
          <w:lang w:val="en-US"/>
        </w:rPr>
        <w:t>In summary, t</w:t>
      </w:r>
      <w:r w:rsidR="00A053CE" w:rsidRPr="000767AE">
        <w:rPr>
          <w:rFonts w:ascii="Arial" w:hAnsi="Arial" w:cs="Arial"/>
          <w:sz w:val="24"/>
          <w:szCs w:val="24"/>
          <w:lang w:val="en-US"/>
        </w:rPr>
        <w:t>he role of ant</w:t>
      </w:r>
      <w:r w:rsidR="008F6EB6" w:rsidRPr="000767AE">
        <w:rPr>
          <w:rFonts w:ascii="Arial" w:hAnsi="Arial" w:cs="Arial"/>
          <w:sz w:val="24"/>
          <w:szCs w:val="24"/>
          <w:lang w:val="en-US"/>
        </w:rPr>
        <w:t>imicrobial use</w:t>
      </w:r>
      <w:r w:rsidR="00A053CE" w:rsidRPr="000767AE">
        <w:rPr>
          <w:rFonts w:ascii="Arial" w:hAnsi="Arial" w:cs="Arial"/>
          <w:sz w:val="24"/>
          <w:szCs w:val="24"/>
          <w:lang w:val="en-US"/>
        </w:rPr>
        <w:t xml:space="preserve"> in driving </w:t>
      </w:r>
      <w:r w:rsidR="008F6EB6" w:rsidRPr="000767AE">
        <w:rPr>
          <w:rFonts w:ascii="Arial" w:hAnsi="Arial" w:cs="Arial"/>
          <w:sz w:val="24"/>
          <w:szCs w:val="24"/>
          <w:lang w:val="en-US"/>
        </w:rPr>
        <w:t>the</w:t>
      </w:r>
      <w:r w:rsidRPr="000767AE">
        <w:rPr>
          <w:rFonts w:ascii="Arial" w:hAnsi="Arial" w:cs="Arial"/>
          <w:sz w:val="24"/>
          <w:szCs w:val="24"/>
          <w:lang w:val="en-US"/>
        </w:rPr>
        <w:t xml:space="preserve"> </w:t>
      </w:r>
      <w:r w:rsidR="008F6EB6" w:rsidRPr="000767AE">
        <w:rPr>
          <w:rFonts w:ascii="Arial" w:hAnsi="Arial" w:cs="Arial"/>
          <w:sz w:val="24"/>
          <w:szCs w:val="24"/>
          <w:lang w:val="en-US"/>
        </w:rPr>
        <w:t xml:space="preserve">emergence of resistance </w:t>
      </w:r>
      <w:r w:rsidR="00A053CE" w:rsidRPr="000767AE">
        <w:rPr>
          <w:rFonts w:ascii="Arial" w:hAnsi="Arial" w:cs="Arial"/>
          <w:sz w:val="24"/>
          <w:szCs w:val="24"/>
          <w:lang w:val="en-US"/>
        </w:rPr>
        <w:t>is likely to be specific</w:t>
      </w:r>
      <w:r w:rsidR="00FD4025" w:rsidRPr="000767AE">
        <w:rPr>
          <w:rFonts w:ascii="Arial" w:hAnsi="Arial" w:cs="Arial"/>
          <w:sz w:val="24"/>
          <w:szCs w:val="24"/>
          <w:lang w:val="en-US"/>
        </w:rPr>
        <w:t xml:space="preserve"> to each </w:t>
      </w:r>
      <w:r w:rsidR="00A053CE" w:rsidRPr="000767AE">
        <w:rPr>
          <w:rFonts w:ascii="Arial" w:hAnsi="Arial" w:cs="Arial"/>
          <w:sz w:val="24"/>
          <w:szCs w:val="24"/>
          <w:lang w:val="en-US"/>
        </w:rPr>
        <w:t xml:space="preserve">drug and </w:t>
      </w:r>
      <w:r w:rsidRPr="000767AE">
        <w:rPr>
          <w:rFonts w:ascii="Arial" w:hAnsi="Arial" w:cs="Arial"/>
          <w:sz w:val="24"/>
          <w:szCs w:val="24"/>
          <w:lang w:val="en-US"/>
        </w:rPr>
        <w:t xml:space="preserve">to each </w:t>
      </w:r>
      <w:r w:rsidR="00A053CE" w:rsidRPr="000767AE">
        <w:rPr>
          <w:rFonts w:ascii="Arial" w:hAnsi="Arial" w:cs="Arial"/>
          <w:sz w:val="24"/>
          <w:szCs w:val="24"/>
          <w:lang w:val="en-US"/>
        </w:rPr>
        <w:t>micro</w:t>
      </w:r>
      <w:r w:rsidRPr="000767AE">
        <w:rPr>
          <w:rFonts w:ascii="Arial" w:hAnsi="Arial" w:cs="Arial"/>
          <w:sz w:val="24"/>
          <w:szCs w:val="24"/>
          <w:lang w:val="en-US"/>
        </w:rPr>
        <w:t>-</w:t>
      </w:r>
      <w:r w:rsidR="00A053CE" w:rsidRPr="000767AE">
        <w:rPr>
          <w:rFonts w:ascii="Arial" w:hAnsi="Arial" w:cs="Arial"/>
          <w:sz w:val="24"/>
          <w:szCs w:val="24"/>
          <w:lang w:val="en-US"/>
        </w:rPr>
        <w:t>organism</w:t>
      </w:r>
      <w:r w:rsidRPr="000767AE">
        <w:rPr>
          <w:rFonts w:ascii="Arial" w:hAnsi="Arial" w:cs="Arial"/>
          <w:sz w:val="24"/>
          <w:szCs w:val="24"/>
          <w:lang w:val="en-US"/>
        </w:rPr>
        <w:t xml:space="preserve">, as </w:t>
      </w:r>
      <w:r w:rsidR="007F2E48" w:rsidRPr="000767AE">
        <w:rPr>
          <w:rFonts w:ascii="Arial" w:hAnsi="Arial" w:cs="Arial"/>
          <w:sz w:val="24"/>
          <w:szCs w:val="24"/>
          <w:lang w:val="en-US"/>
        </w:rPr>
        <w:t>is the</w:t>
      </w:r>
      <w:r w:rsidRPr="000767AE">
        <w:rPr>
          <w:rFonts w:ascii="Arial" w:hAnsi="Arial" w:cs="Arial"/>
          <w:sz w:val="24"/>
          <w:szCs w:val="24"/>
          <w:lang w:val="en-US"/>
        </w:rPr>
        <w:t xml:space="preserve"> impact of changes in </w:t>
      </w:r>
      <w:r w:rsidR="007F2E48" w:rsidRPr="000767AE">
        <w:rPr>
          <w:rFonts w:ascii="Arial" w:hAnsi="Arial" w:cs="Arial"/>
          <w:sz w:val="24"/>
          <w:szCs w:val="24"/>
          <w:lang w:val="en-US"/>
        </w:rPr>
        <w:t>this</w:t>
      </w:r>
      <w:r w:rsidRPr="000767AE">
        <w:rPr>
          <w:rFonts w:ascii="Arial" w:hAnsi="Arial" w:cs="Arial"/>
          <w:sz w:val="24"/>
          <w:szCs w:val="24"/>
          <w:lang w:val="en-US"/>
        </w:rPr>
        <w:t xml:space="preserve"> use. This</w:t>
      </w:r>
      <w:r w:rsidR="00A053CE" w:rsidRPr="000767AE">
        <w:rPr>
          <w:rFonts w:ascii="Arial" w:hAnsi="Arial" w:cs="Arial"/>
          <w:sz w:val="24"/>
          <w:szCs w:val="24"/>
          <w:lang w:val="en-US"/>
        </w:rPr>
        <w:t xml:space="preserve"> necessitat</w:t>
      </w:r>
      <w:r w:rsidRPr="000767AE">
        <w:rPr>
          <w:rFonts w:ascii="Arial" w:hAnsi="Arial" w:cs="Arial"/>
          <w:sz w:val="24"/>
          <w:szCs w:val="24"/>
          <w:lang w:val="en-US"/>
        </w:rPr>
        <w:t>es</w:t>
      </w:r>
      <w:r w:rsidR="00A053CE" w:rsidRPr="000767AE">
        <w:rPr>
          <w:rFonts w:ascii="Arial" w:hAnsi="Arial" w:cs="Arial"/>
          <w:sz w:val="24"/>
          <w:szCs w:val="24"/>
          <w:lang w:val="en-US"/>
        </w:rPr>
        <w:t xml:space="preserve"> </w:t>
      </w:r>
      <w:r w:rsidR="00943FD6" w:rsidRPr="000767AE">
        <w:rPr>
          <w:rFonts w:ascii="Arial" w:hAnsi="Arial" w:cs="Arial"/>
          <w:sz w:val="24"/>
          <w:szCs w:val="24"/>
          <w:lang w:val="en-US"/>
        </w:rPr>
        <w:t xml:space="preserve">that </w:t>
      </w:r>
      <w:r w:rsidR="00A053CE" w:rsidRPr="000767AE">
        <w:rPr>
          <w:rFonts w:ascii="Arial" w:hAnsi="Arial" w:cs="Arial"/>
          <w:sz w:val="24"/>
          <w:szCs w:val="24"/>
          <w:lang w:val="en-US"/>
        </w:rPr>
        <w:t xml:space="preserve">policies </w:t>
      </w:r>
      <w:r w:rsidR="00943FD6" w:rsidRPr="000767AE">
        <w:rPr>
          <w:rFonts w:ascii="Arial" w:hAnsi="Arial" w:cs="Arial"/>
          <w:sz w:val="24"/>
          <w:szCs w:val="24"/>
          <w:lang w:val="en-US"/>
        </w:rPr>
        <w:t>are mindful of this complexity in</w:t>
      </w:r>
      <w:r w:rsidR="00A053CE" w:rsidRPr="000767AE">
        <w:rPr>
          <w:rFonts w:ascii="Arial" w:hAnsi="Arial" w:cs="Arial"/>
          <w:sz w:val="24"/>
          <w:szCs w:val="24"/>
          <w:lang w:val="en-US"/>
        </w:rPr>
        <w:t xml:space="preserve"> address</w:t>
      </w:r>
      <w:r w:rsidR="00943FD6" w:rsidRPr="000767AE">
        <w:rPr>
          <w:rFonts w:ascii="Arial" w:hAnsi="Arial" w:cs="Arial"/>
          <w:sz w:val="24"/>
          <w:szCs w:val="24"/>
          <w:lang w:val="en-US"/>
        </w:rPr>
        <w:t xml:space="preserve">ing </w:t>
      </w:r>
      <w:r w:rsidR="00A053CE" w:rsidRPr="000767AE">
        <w:rPr>
          <w:rFonts w:ascii="Arial" w:hAnsi="Arial" w:cs="Arial"/>
          <w:sz w:val="24"/>
          <w:szCs w:val="24"/>
          <w:lang w:val="en-US"/>
        </w:rPr>
        <w:t>selection pressure</w:t>
      </w:r>
      <w:r w:rsidR="00377113" w:rsidRPr="000767AE">
        <w:rPr>
          <w:rFonts w:ascii="Arial" w:hAnsi="Arial" w:cs="Arial"/>
          <w:sz w:val="24"/>
          <w:szCs w:val="24"/>
          <w:lang w:val="en-US"/>
        </w:rPr>
        <w:t xml:space="preserve"> and that an integrated approach is adopted across both the community (including agriculture and the environment) and healthcare structures</w:t>
      </w:r>
      <w:r w:rsidR="00A053CE" w:rsidRPr="000767AE">
        <w:rPr>
          <w:rFonts w:ascii="Arial" w:hAnsi="Arial" w:cs="Arial"/>
          <w:sz w:val="24"/>
          <w:szCs w:val="24"/>
          <w:lang w:val="en-US"/>
        </w:rPr>
        <w:t>.</w:t>
      </w:r>
      <w:r w:rsidR="00B107F8" w:rsidRPr="000767AE" w:rsidDel="00B107F8">
        <w:rPr>
          <w:rFonts w:ascii="Arial" w:hAnsi="Arial" w:cs="Arial"/>
          <w:sz w:val="24"/>
          <w:szCs w:val="24"/>
          <w:lang w:val="en-US"/>
        </w:rPr>
        <w:t xml:space="preserve"> </w:t>
      </w:r>
    </w:p>
    <w:p w14:paraId="2E02B881" w14:textId="77777777" w:rsidR="00A053CE" w:rsidRPr="000767AE" w:rsidRDefault="00A053CE" w:rsidP="00A053CE">
      <w:pPr>
        <w:rPr>
          <w:rFonts w:ascii="Arial" w:hAnsi="Arial" w:cs="Arial"/>
          <w:sz w:val="24"/>
          <w:szCs w:val="24"/>
        </w:rPr>
      </w:pPr>
    </w:p>
    <w:p w14:paraId="396CEBA7" w14:textId="77777777" w:rsidR="0041598A" w:rsidRPr="000767AE" w:rsidRDefault="0041598A" w:rsidP="00A053CE">
      <w:pPr>
        <w:rPr>
          <w:rFonts w:ascii="Arial" w:hAnsi="Arial" w:cs="Arial"/>
          <w:sz w:val="24"/>
          <w:szCs w:val="24"/>
        </w:rPr>
      </w:pPr>
    </w:p>
    <w:p w14:paraId="229947C0" w14:textId="77777777" w:rsidR="00A053CE" w:rsidRPr="000767AE" w:rsidRDefault="00A053CE" w:rsidP="00A053CE">
      <w:pPr>
        <w:pStyle w:val="Heading2"/>
        <w:spacing w:before="0"/>
        <w:rPr>
          <w:rFonts w:ascii="Arial" w:hAnsi="Arial"/>
          <w:b/>
          <w:sz w:val="24"/>
        </w:rPr>
      </w:pPr>
      <w:bookmarkStart w:id="6" w:name="_Toc381719162"/>
      <w:r w:rsidRPr="000767AE">
        <w:rPr>
          <w:rFonts w:ascii="Arial" w:hAnsi="Arial"/>
          <w:b/>
          <w:sz w:val="24"/>
        </w:rPr>
        <w:t xml:space="preserve">Transmission of </w:t>
      </w:r>
      <w:r w:rsidR="007F2E48" w:rsidRPr="000767AE">
        <w:rPr>
          <w:rFonts w:ascii="Arial" w:hAnsi="Arial"/>
          <w:b/>
          <w:sz w:val="24"/>
        </w:rPr>
        <w:t>r</w:t>
      </w:r>
      <w:r w:rsidRPr="000767AE">
        <w:rPr>
          <w:rFonts w:ascii="Arial" w:hAnsi="Arial"/>
          <w:b/>
          <w:sz w:val="24"/>
        </w:rPr>
        <w:t>esistance</w:t>
      </w:r>
      <w:bookmarkEnd w:id="6"/>
    </w:p>
    <w:p w14:paraId="6D6261AC" w14:textId="77777777" w:rsidR="00A053CE" w:rsidRPr="000767AE" w:rsidRDefault="00A053CE" w:rsidP="00A053CE"/>
    <w:p w14:paraId="7249E3EA" w14:textId="77777777" w:rsidR="00A053CE" w:rsidRPr="000767AE" w:rsidRDefault="00A053CE" w:rsidP="00A053CE">
      <w:pPr>
        <w:pStyle w:val="Heading3"/>
        <w:spacing w:before="0"/>
        <w:rPr>
          <w:rFonts w:ascii="Arial" w:hAnsi="Arial"/>
          <w:i/>
          <w:color w:val="243F60"/>
          <w:lang w:eastAsia="en-GB"/>
        </w:rPr>
      </w:pPr>
      <w:r w:rsidRPr="000767AE">
        <w:rPr>
          <w:rFonts w:ascii="Arial" w:hAnsi="Arial"/>
          <w:i/>
          <w:lang w:eastAsia="en-GB"/>
        </w:rPr>
        <w:t xml:space="preserve">1) How does transmission </w:t>
      </w:r>
      <w:r w:rsidR="00162F51" w:rsidRPr="000767AE">
        <w:rPr>
          <w:rFonts w:ascii="Arial" w:hAnsi="Arial"/>
          <w:i/>
          <w:lang w:eastAsia="en-GB"/>
        </w:rPr>
        <w:t xml:space="preserve">of resistance </w:t>
      </w:r>
      <w:r w:rsidRPr="000767AE">
        <w:rPr>
          <w:rFonts w:ascii="Arial" w:hAnsi="Arial"/>
          <w:i/>
          <w:lang w:eastAsia="en-GB"/>
        </w:rPr>
        <w:t xml:space="preserve">occur between micro-organisms? </w:t>
      </w:r>
    </w:p>
    <w:p w14:paraId="17B97F85" w14:textId="65910699" w:rsidR="00A053CE" w:rsidRPr="000767AE" w:rsidRDefault="00A053CE" w:rsidP="00162F51">
      <w:pPr>
        <w:widowControl w:val="0"/>
        <w:autoSpaceDE w:val="0"/>
        <w:autoSpaceDN w:val="0"/>
        <w:adjustRightInd w:val="0"/>
        <w:rPr>
          <w:rFonts w:ascii="Arial" w:hAnsi="Arial" w:cs="Arial"/>
          <w:sz w:val="24"/>
          <w:szCs w:val="24"/>
        </w:rPr>
      </w:pPr>
      <w:r w:rsidRPr="000767AE">
        <w:rPr>
          <w:rFonts w:ascii="Arial" w:hAnsi="Arial" w:cs="Arial"/>
          <w:sz w:val="24"/>
          <w:szCs w:val="24"/>
        </w:rPr>
        <w:t xml:space="preserve">In addition to </w:t>
      </w:r>
      <w:r w:rsidRPr="000767AE">
        <w:rPr>
          <w:rFonts w:ascii="Arial" w:hAnsi="Arial"/>
          <w:sz w:val="24"/>
        </w:rPr>
        <w:t xml:space="preserve">selection of </w:t>
      </w:r>
      <w:r w:rsidR="00427F57" w:rsidRPr="000767AE">
        <w:rPr>
          <w:rFonts w:ascii="Arial" w:hAnsi="Arial"/>
          <w:sz w:val="24"/>
        </w:rPr>
        <w:t>AMR</w:t>
      </w:r>
      <w:r w:rsidRPr="000767AE">
        <w:rPr>
          <w:rFonts w:ascii="Arial" w:hAnsi="Arial"/>
          <w:sz w:val="24"/>
        </w:rPr>
        <w:t xml:space="preserve"> </w:t>
      </w:r>
      <w:r w:rsidR="00676552" w:rsidRPr="000767AE">
        <w:rPr>
          <w:rFonts w:ascii="Arial" w:hAnsi="Arial"/>
          <w:sz w:val="24"/>
        </w:rPr>
        <w:t xml:space="preserve">through </w:t>
      </w:r>
      <w:r w:rsidRPr="000767AE">
        <w:rPr>
          <w:rFonts w:ascii="Arial" w:hAnsi="Arial"/>
          <w:sz w:val="24"/>
        </w:rPr>
        <w:t>mutation</w:t>
      </w:r>
      <w:r w:rsidR="00162F51" w:rsidRPr="000767AE">
        <w:rPr>
          <w:rFonts w:ascii="Arial" w:hAnsi="Arial"/>
          <w:sz w:val="24"/>
        </w:rPr>
        <w:t>s</w:t>
      </w:r>
      <w:r w:rsidRPr="000767AE">
        <w:rPr>
          <w:rFonts w:ascii="Arial" w:hAnsi="Arial"/>
          <w:sz w:val="24"/>
        </w:rPr>
        <w:t xml:space="preserve"> in genes encoded on </w:t>
      </w:r>
      <w:r w:rsidR="00427F57" w:rsidRPr="000767AE">
        <w:rPr>
          <w:rFonts w:ascii="Arial" w:hAnsi="Arial"/>
          <w:sz w:val="24"/>
        </w:rPr>
        <w:t>microbe’s</w:t>
      </w:r>
      <w:r w:rsidRPr="000767AE">
        <w:rPr>
          <w:rFonts w:ascii="Arial" w:hAnsi="Arial"/>
          <w:sz w:val="24"/>
        </w:rPr>
        <w:t xml:space="preserve"> chromosome</w:t>
      </w:r>
      <w:r w:rsidR="00676552" w:rsidRPr="000767AE">
        <w:rPr>
          <w:rFonts w:ascii="Arial" w:hAnsi="Arial"/>
          <w:sz w:val="24"/>
        </w:rPr>
        <w:t>s</w:t>
      </w:r>
      <w:r w:rsidRPr="000767AE">
        <w:rPr>
          <w:rFonts w:ascii="Arial" w:hAnsi="Arial"/>
          <w:sz w:val="24"/>
        </w:rPr>
        <w:t>,</w:t>
      </w:r>
      <w:r w:rsidRPr="000767AE">
        <w:rPr>
          <w:rFonts w:ascii="Arial" w:hAnsi="Arial" w:cs="Arial"/>
          <w:sz w:val="24"/>
          <w:szCs w:val="24"/>
        </w:rPr>
        <w:t xml:space="preserve"> new genetic material </w:t>
      </w:r>
      <w:r w:rsidR="00427F57" w:rsidRPr="000767AE">
        <w:rPr>
          <w:rFonts w:ascii="Arial" w:hAnsi="Arial" w:cs="Arial"/>
          <w:sz w:val="24"/>
          <w:szCs w:val="24"/>
        </w:rPr>
        <w:t>can also be exchanges between organisms</w:t>
      </w:r>
      <w:r w:rsidRPr="000767AE">
        <w:rPr>
          <w:rFonts w:ascii="Arial" w:hAnsi="Arial" w:cs="Arial"/>
          <w:sz w:val="24"/>
          <w:szCs w:val="24"/>
        </w:rPr>
        <w:t>. Th</w:t>
      </w:r>
      <w:r w:rsidR="005551C8" w:rsidRPr="000767AE">
        <w:rPr>
          <w:rFonts w:ascii="Arial" w:hAnsi="Arial" w:cs="Arial"/>
          <w:sz w:val="24"/>
          <w:szCs w:val="24"/>
        </w:rPr>
        <w:t xml:space="preserve">is can </w:t>
      </w:r>
      <w:r w:rsidRPr="000767AE">
        <w:rPr>
          <w:rFonts w:ascii="Arial" w:hAnsi="Arial" w:cs="Arial"/>
          <w:sz w:val="24"/>
          <w:szCs w:val="24"/>
        </w:rPr>
        <w:t xml:space="preserve">provide the host cell and its progeny with </w:t>
      </w:r>
      <w:r w:rsidR="0053727D" w:rsidRPr="000767AE">
        <w:rPr>
          <w:rFonts w:ascii="Arial" w:hAnsi="Arial" w:cs="Arial"/>
          <w:sz w:val="24"/>
          <w:szCs w:val="24"/>
        </w:rPr>
        <w:t xml:space="preserve">new genetic material encoding </w:t>
      </w:r>
      <w:r w:rsidR="00427F57" w:rsidRPr="000767AE">
        <w:rPr>
          <w:rFonts w:ascii="Arial" w:hAnsi="Arial" w:cs="Arial"/>
          <w:sz w:val="24"/>
          <w:szCs w:val="24"/>
        </w:rPr>
        <w:t>AMR</w:t>
      </w:r>
      <w:r w:rsidR="00F5329A" w:rsidRPr="000767AE">
        <w:rPr>
          <w:rFonts w:ascii="Arial" w:hAnsi="Arial" w:cs="Arial"/>
          <w:sz w:val="24"/>
          <w:szCs w:val="24"/>
        </w:rPr>
        <w:t xml:space="preserve"> and can occur through several mechanisms, of which perhaps the most important is plasmid transmission</w:t>
      </w:r>
      <w:r w:rsidRPr="000767AE">
        <w:rPr>
          <w:rFonts w:ascii="Arial" w:hAnsi="Arial" w:cs="Arial"/>
          <w:sz w:val="24"/>
          <w:szCs w:val="24"/>
        </w:rPr>
        <w:t xml:space="preserve"> (</w:t>
      </w:r>
      <w:r w:rsidRPr="003234D2">
        <w:rPr>
          <w:rFonts w:ascii="Arial" w:hAnsi="Arial" w:cs="Arial"/>
          <w:b/>
          <w:sz w:val="24"/>
          <w:szCs w:val="24"/>
          <w:highlight w:val="yellow"/>
        </w:rPr>
        <w:t>Figure 1</w:t>
      </w:r>
      <w:r w:rsidR="003234D2" w:rsidRPr="003234D2">
        <w:rPr>
          <w:rFonts w:ascii="Arial" w:hAnsi="Arial" w:cs="Arial"/>
          <w:b/>
          <w:sz w:val="24"/>
          <w:szCs w:val="24"/>
          <w:highlight w:val="yellow"/>
        </w:rPr>
        <w:fldChar w:fldCharType="begin" w:fldLock="1"/>
      </w:r>
      <w:r w:rsidR="009E0BAE">
        <w:rPr>
          <w:rFonts w:ascii="Arial" w:hAnsi="Arial" w:cs="Arial"/>
          <w:b/>
          <w:sz w:val="24"/>
          <w:szCs w:val="24"/>
          <w:highlight w:val="yellow"/>
        </w:rPr>
        <w:instrText>ADDIN CSL_CITATION { "citationItems" : [ { "id" : "ITEM-1", "itemData" : { "DOI" : "10.1016/S1473-3099(11)70059-7", "ISSN" : "1474-4457", "PMID" : "21478057", "abstract" : "BACKGROUND: Not all patients infected with NDM-1-positive bacteria have a history of hospital admission in India, and extended-spectrum \u03b2-lactamases are known to be circulating in the Indian community. We therefore measured the prevalence of the NDM-1 gene in drinking water and seepage samples in New Delhi. METHODS: Swabs absorbing about 100 \u03bcL of seepage water (ie, water pools in streets or rivulets) and 15 mL samples of public tap water were collected from sites within a 12 km radius of central New Delhi, with each site photographed and documented. Samples were transported to the UK and tested for the presence of the NDM-1 gene, bla(NDM-1), by PCR and DNA probing. As a control group, 100 \u03bcL sewage effluent samples were taken from the Cardiff Wastewater Treatment Works, Tremorfa, Wales. Bacteria from all samples were recovered and examined for bla(NDM-1) by PCR and sequencing. We identified NDM-1-positive isolates, undertook susceptibility testing, and, where appropriate, typed the isolates. We undertook Inc typing on bla(NDM-1)-positive plasmids. Transconjugants were created to assess plasmid transfer frequency and its relation to temperature. FINDINGS: From Sept 26 to Oct 10, 2010, 171 seepage samples and 50 tap water samples from New Delhi and 70 sewage effluent samples from Cardiff Wastewater Treatment Works were collected. We detected bla(NDM-1) in two of 50 drinking-water samples and 51 of 171 seepage samples from New Delhi; the gene was not found in any sample from Cardiff. Bacteria with bla(NDM-1) were grown from 12 of 171 seepage samples and two of 50 water samples, and included 11 species in which NDM-1 has not previously been reported, including Shigella boydii and Vibrio cholerae. Carriage by enterobacteria, aeromonads, and V cholera was stable, generally transmissible, and associated with resistance patterns typical for NDM-1; carriage by non-fermenters was unstable in many cases and not associated with typical resistance. 20 strains of bacteria were found in the samples, 12 of which carried bla(NDM-1) on plasmids, which ranged in size from 140 to 400 kb. Isolates of Aeromonas caviae and V cholerae carried bla(NDM-1) on chromosomes. Conjugative transfer was more common at 30\u00b0C than at 25\u00b0C or 37\u00b0C. INTERPRETATION: The presence of NDM-1 \u03b2-lactamase-producing bacteria in environmental samples in New Delhi has important implications for people living in the city who are reliant on public water and sanitation facilities. International surveill\u2026", "author" : [ { "dropping-particle" : "", "family" : "Walsh", "given" : "Timothy R", "non-dropping-particle" : "", "parse-names" : false, "suffix" : "" }, { "dropping-particle" : "", "family" : "Weeks", "given" : "Janis", "non-dropping-particle" : "", "parse-names" : false, "suffix" : "" }, { "dropping-particle" : "", "family" : "Livermore", "given" : "David M", "non-dropping-particle" : "", "parse-names" : false, "suffix" : "" }, { "dropping-particle" : "", "family" : "Toleman", "given" : "Mark A", "non-dropping-particle" : "", "parse-names" : false, "suffix" : "" } ], "container-title" : "Lancet Infectious Diseases", "id" : "ITEM-1", "issue" : "5", "issued" : { "date-parts" : [ [ "2011", "5" ] ] }, "page" : "355-62", "publisher" : "Elsevier Ltd", "title" : "Dissemination of NDM-1 positive bacteria in the New Delhi environment and its implications for human health: an environmental point prevalence study.", "type" : "article-journal", "volume" : "11" }, "uris" : [ "http://www.mendeley.com/documents/?uuid=f61619f4-a439-46ef-bb5d-494f1efb9f7a" ] }, { "id" : "ITEM-2", "itemData" : { "DOI" : "10.1128/AEM.03080-09", "ISSN" : "1098-5336", "PMID" : "20382816", "abstract" : "Using both sequence- and function-based metagenomic approaches, multiple antibiotic resistance determinants were identified within metagenomic libraries constructed from DNA extracted from bacterial chromosomes, plasmids, or viruses within an activated sludge microbial assemblage. Metagenomic clones and a plasmid that in Escherichia coli expressed resistance to chloramphenicol, ampicillin, or kanamycin were isolated, with many cloned DNA sequences lacking any significant homology to known antibiotic resistance determinants.", "author" : [ { "dropping-particle" : "", "family" : "Parsley", "given" : "Larissa C", "non-dropping-particle" : "", "parse-names" : false, "suffix" : "" }, { "dropping-particle" : "", "family" : "Consuegra", "given" : "Erin J", "non-dropping-particle" : "", "parse-names" : false, "suffix" : "" }, { "dropping-particle" : "", "family" : "Kakirde", "given" : "Kavita S", "non-dropping-particle" : "", "parse-names" : false, "suffix" : "" }, { "dropping-particle" : "", "family" : "Land", "given" : "Andrew M", "non-dropping-particle" : "", "parse-names" : false, "suffix" : "" }, { "dropping-particle" : "", "family" : "Harper", "given" : "Willie F", "non-dropping-particle" : "", "parse-names" : false, "suffix" : "" }, { "dropping-particle" : "", "family" : "Liles", "given" : "Mark R", "non-dropping-particle" : "", "parse-names" : false, "suffix" : "" } ], "container-title" : "Applied and Environmental Microbiology", "id" : "ITEM-2", "issue" : "11", "issued" : { "date-parts" : [ [ "2010", "6" ] ] }, "page" : "3753-7", "title" : "Identification of diverse antimicrobial resistance determinants carried on bacterial, plasmid, or viral metagenomes from an activated sludge microbial assemblage.", "type" : "article-journal", "volume" : "76" }, "uris" : [ "http://www.mendeley.com/documents/?uuid=fa49b4fb-7bc5-4569-a076-c90e78f2b62b" ] }, { "id" : "ITEM-3", "itemData" : { "DOI" : "10.1128/AAC.00535-11", "ISSN" : "1098-6596", "PMID" : "21807968", "abstract" : "This study evaluates the occurrence of bacteriophages carrying antibiotic resistance genes in animal environments. bla(TEM), bla(CTX-M) (clusters 1 and 9), and mecA were quantified by quantitative PCR in 71 phage DNA samples from pigs, poultry, and cattle fecal wastes. Densities of 3 to 4 log(10) gene copies (GC) of bla(TEM), 2 to 3 log(10) GC of bla(CTX-M), and 1 to 3 log(10) GC of mecA per milliliter or gram of sample were detected, suggesting that bacteriophages can be environmental vectors for the horizontal transfer of antibiotic resistance genes.", "author" : [ { "dropping-particle" : "", "family" : "Colomer-Lluch", "given" : "Marta", "non-dropping-particle" : "", "parse-names" : false, "suffix" : "" }, { "dropping-particle" : "", "family" : "Imamovic", "given" : "Lejla", "non-dropping-particle" : "", "parse-names" : false, "suffix" : "" }, { "dropping-particle" : "", "family" : "Jofre", "given" : "Juan", "non-dropping-particle" : "", "parse-names" : false, "suffix" : "" }, { "dropping-particle" : "", "family" : "Muniesa", "given" : "Maite", "non-dropping-particle" : "", "parse-names" : false, "suffix" : "" } ], "container-title" : "Antimicrobial Agents and Chemotherapy", "id" : "ITEM-3", "issue" : "10", "issued" : { "date-parts" : [ [ "2011", "10" ] ] }, "page" : "4908-11", "title" : "Bacteriophages carrying antibiotic resistance genes in fecal waste from cattle, pigs, and poultry.", "type" : "article-journal", "volume" : "55" }, "uris" : [ "http://www.mendeley.com/documents/?uuid=a18bd04e-3683-4fc7-925a-9fb0bedae275" ] }, { "id" : "ITEM-4", "itemData" : { "DOI" : "10.1128/AAC.05760-11", "ISSN" : "1098-6596", "PMID" : "22155830", "abstract" : "Recently, the first Neisseria gonorrhoeae strain (H041) highly resistant to the expanded-spectrum cephalosporins (ESCs) ceftriaxone and cefixime, which are the last remaining options for first-line gonorrhea treatment, was isolated in Japan. Here, we confirm and characterize a second strain (F89) with high-level cefixime and ceftriaxone resistance which was isolated in France and most likely caused a treatment failure with cefixime. F89 was examined using six species-confirmatory tests, antibiograms (33 antimicrobials), porB sequencing, N. gonorrhoeae multiantigen sequence typing (NG-MAST), multilocus sequence typing (MLST), and sequencing of known gonococcal resistance determinants (penA, mtrR, penB, ponA, and pilQ). F89 was assigned to MLST sequence type 1901 (ST1901) and NG-MAST ST1407, which is a successful gonococcal clone that has spread globally. F89 has high-level resistance to cefixime (MIC = 4 \u03bcg/ml) and ceftriaxone (MIC = 1 to 2 \u03bcg/ml) and resistance to most other antimicrobials examined. A novel penA mosaic allele (penA-CI), which was penA-XXXIV with an additional A501P alteration in penicillin-binding protein 2, was the primary determinant for high-level ESC resistance, as determined by transformation into a set of recipient strains. N. gonorrhoeae appears to be emerging as a superbug, and in certain circumstances and settings, gonorrhea may become untreatable. Investigations of the biological fitness and enhanced understanding and monitoring of the ESC-resistant clones and their international transmission are required. Enhanced disease control activities, antimicrobial resistance control and surveillance worldwide, and public health response plans for global (and national) perspectives are also crucial. Nevertheless, new treatment strategies and/or drugs and, ideally, a vaccine are essential to develop for efficacious gonorrhea management.", "author" : [ { "dropping-particle" : "", "family" : "Unemo", "given" : "Magnus", "non-dropping-particle" : "", "parse-names" : false, "suffix" : "" }, { "dropping-particle" : "", "family" : "Golparian", "given" : "Daniel", "non-dropping-particle" : "", "parse-names" : false, "suffix" : "" }, { "dropping-particle" : "", "family" : "Nicholas", "given" : "Robert", "non-dropping-particle" : "", "parse-names" : false, "suffix" : "" }, { "dropping-particle" : "", "family" : "Ohnishi", "given" : "Makoto", "non-dropping-particle" : "", "parse-names" : false, "suffix" : "" }, { "dropping-particle" : "", "family" : "Gallay", "given" : "Anne", "non-dropping-particle" : "", "parse-names" : false, "suffix" : "" }, { "dropping-particle" : "", "family" : "Sednaoui", "given" : "Patrice", "non-dropping-particle" : "", "parse-names" : false, "suffix" : "" } ], "container-title" : "Antimicrobial Agents and Chemotherapy", "id" : "ITEM-4", "issue" : "3", "issued" : { "date-parts" : [ [ "2012", "3" ] ] }, "page" : "1273-80", "title" : "High-level cefixime- and ceftriaxone-resistant Neisseria gonorrhoeae in France: novel penA mosaic allele in a successful international clone causes treatment failure.", "type" : "article-journal", "volume" : "56" }, "uris" : [ "http://www.mendeley.com/documents/?uuid=b0d69a8b-6449-4192-bbb0-87d4eec3a10d" ] }, { "id" : "ITEM-5", "itemData" : { "DOI" : "10.1093/jac/dkq463", "ISBN" : "2083276264", "ISSN" : "1460-2091", "PMID" : "21131323", "abstract" : "OBJECTIVES: Between January 2004 and May 2006 Escherichia coli producing extended-spectrum \u03b2-lactamases (ESBLs) were isolated from the faeces of 118/294 residents from 16 nursing homes in Belfast. Of these, 58 isolates belonged to UK strain A, a variant of the international ST131 clone. Here we investigated the remaining 60 ESBL producers. METHODS: MICs were determined and interpreted using BSAC methodology. Isolates were characterized by phylogenetic typing, real-time PCR and PFGE. Plasmids were rep typed by PCR and their similarity to IncI1 reference plasmid pEK204 was investigated by restriction fragment length polymorphism analysis. The molecular environments surrounding bla(CTX-M) were determined by DNA sequencing and PCR. RESULTS: Fifty-nine of 60 isolates belonged to the B2, ST131 lineage; of these 28 belonged to the previously defined UK strain C, while the other 31 were clustered into five groups by PFGE. Forty-nine isolates harboured bla(CTX-M-3) on plasmids of five different rep types (I1, FIA, FIA-FIB, N and Y) and 11 harboured bla(CTX-M-15) on F-type plasmids (FIA and FIA-FIB). All CTX-M-3 ESBL producers and three with CTX-M-15 ESBL had an intact copy of ISEcp1 immediately upstream of bla(CTX-M); the remaining eight with CTX-M-15 ESBL had a truncated ISEcp1. CONCLUSIONS: Gut colonization among nursing home residents in Belfast with ciprofloxacin-resistant E. coli producing ESBLs almost entirely involves clonal spread of ST131 variants, with similar genetic environments for bla(CTX-M-3) or bla(CTX-M-15) as in pEK204 and pEK499. Such diversity indicates dissemination of both plasmids and ESBL genes among a single commonly multiresistant clone.", "author" : [ { "dropping-particle" : "", "family" : "Dhanji", "given" : "Hiran", "non-dropping-particle" : "", "parse-names" : false, "suffix" : "" }, { "dropping-particle" : "", "family" : "Doumith", "given" : "Michel", "non-dropping-particle" : "", "parse-names" : false, "suffix" : "" }, { "dropping-particle" : "", "family" : "Rooney", "given" : "Paul J", "non-dropping-particle" : "", "parse-names" : false, "suffix" : "" }, { "dropping-particle" : "", "family" : "O'Leary", "given" : "Maureen C", "non-dropping-particle" : "", "parse-names" : false, "suffix" : "" }, { "dropping-particle" : "", "family" : "Loughrey", "given" : "Anne C", "non-dropping-particle" : "", "parse-names" : false, "suffix" : "" }, { "dropping-particle" : "", "family" : "Hope", "given" : "Russell", "non-dropping-particle" : "", "parse-names" : false, "suffix" : "" }, { "dropping-particle" : "", "family" : "Woodford", "given" : "Neil", "non-dropping-particle" : "", "parse-names" : false, "suffix" : "" }, { "dropping-particle" : "", "family" : "Livermore", "given" : "David M", "non-dropping-particle" : "", "parse-names" : false, "suffix" : "" } ], "container-title" : "Journal of Antimicrobial Chemotherapy", "id" : "ITEM-5", "issue" : "2", "issued" : { "date-parts" : [ [ "2011", "2" ] ] }, "page" : "297-303", "title" : "Molecular epidemiology of fluoroquinolone-resistant ST131 Escherichia coli producing CTX-M extended-spectrum beta-lactamases in nursing homes in Belfast, UK.", "type" : "article-journal", "volume" : "66" }, "uris" : [ "http://www.mendeley.com/documents/?uuid=7bddbced-ea58-4555-a2d0-4c6e9d348fe3" ] }, { "id" : "ITEM-6", "itemData" : { "DOI" : "10.1038/nrmicro2382", "ISSN" : "1740-1534", "PMID" : "20601965", "abstract" : "Integrative and conjugative elements (ICEs) are a diverse group of mobile genetic elements found in both Gram-positive and Gram-negative bacteria. These elements primarily reside in a host chromosome but retain the ability to excise and to transfer by conjugation. Although ICEs use a range of mechanisms to promote their core functions of integration, excision, transfer and regulation, there are common features that unify the group. This Review compares and contrasts the core functions for some of the well-studied ICEs and discusses them in the broader context of mobile-element and genome evolution.", "author" : [ { "dropping-particle" : "", "family" : "Wozniak", "given" : "Rachel A F", "non-dropping-particle" : "", "parse-names" : false, "suffix" : "" }, { "dropping-particle" : "", "family" : "Waldor", "given" : "Matthew K", "non-dropping-particle" : "", "parse-names" : false, "suffix" : "" } ], "container-title" : "Nature Reviews Microbiology", "id" : "ITEM-6", "issue" : "8", "issued" : { "date-parts" : [ [ "2010", "8" ] ] }, "page" : "552-63", "publisher" : "Nature Publishing Group", "title" : "Integrative and conjugative elements: mosaic mobile genetic elements enabling dynamic lateral gene flow.", "type" : "article-journal", "volume" : "8" }, "uris" : [ "http://www.mendeley.com/documents/?uuid=35226cb5-f7c1-459d-bc1e-2c36491f589b" ] } ], "mendeley" : { "formattedCitation" : "&lt;sup&gt;15,36\u201340&lt;/sup&gt;", "plainTextFormattedCitation" : "15,36\u201340", "previouslyFormattedCitation" : "&lt;sup&gt;15,37\u201341&lt;/sup&gt;" }, "properties" : { "noteIndex" : 0 }, "schema" : "https://github.com/citation-style-language/schema/raw/master/csl-citation.json" }</w:instrText>
      </w:r>
      <w:r w:rsidR="003234D2" w:rsidRPr="003234D2">
        <w:rPr>
          <w:rFonts w:ascii="Arial" w:hAnsi="Arial" w:cs="Arial"/>
          <w:b/>
          <w:sz w:val="24"/>
          <w:szCs w:val="24"/>
          <w:highlight w:val="yellow"/>
        </w:rPr>
        <w:fldChar w:fldCharType="separate"/>
      </w:r>
      <w:r w:rsidR="009E0BAE" w:rsidRPr="009E0BAE">
        <w:rPr>
          <w:rFonts w:ascii="Arial" w:hAnsi="Arial" w:cs="Arial"/>
          <w:noProof/>
          <w:sz w:val="24"/>
          <w:szCs w:val="24"/>
          <w:highlight w:val="yellow"/>
          <w:vertAlign w:val="superscript"/>
        </w:rPr>
        <w:t>15,36–40</w:t>
      </w:r>
      <w:r w:rsidR="003234D2" w:rsidRPr="003234D2">
        <w:rPr>
          <w:rFonts w:ascii="Arial" w:hAnsi="Arial" w:cs="Arial"/>
          <w:b/>
          <w:sz w:val="24"/>
          <w:szCs w:val="24"/>
          <w:highlight w:val="yellow"/>
        </w:rPr>
        <w:fldChar w:fldCharType="end"/>
      </w:r>
      <w:r w:rsidRPr="000767AE">
        <w:rPr>
          <w:rFonts w:ascii="Arial" w:hAnsi="Arial" w:cs="Arial"/>
          <w:sz w:val="24"/>
          <w:szCs w:val="24"/>
        </w:rPr>
        <w:t>).</w:t>
      </w:r>
      <w:r w:rsidR="00AC024D" w:rsidRPr="000767AE">
        <w:rPr>
          <w:rFonts w:ascii="Arial" w:hAnsi="Arial" w:cs="Arial"/>
          <w:sz w:val="24"/>
          <w:szCs w:val="24"/>
        </w:rPr>
        <w:t xml:space="preserve"> A</w:t>
      </w:r>
      <w:r w:rsidR="00162F51" w:rsidRPr="000767AE">
        <w:rPr>
          <w:rFonts w:ascii="Arial" w:hAnsi="Arial" w:cs="Arial"/>
          <w:sz w:val="24"/>
          <w:szCs w:val="24"/>
        </w:rPr>
        <w:t>nti</w:t>
      </w:r>
      <w:r w:rsidR="00957093" w:rsidRPr="000767AE">
        <w:rPr>
          <w:rFonts w:ascii="Arial" w:hAnsi="Arial" w:cs="Arial"/>
          <w:sz w:val="24"/>
          <w:szCs w:val="24"/>
        </w:rPr>
        <w:t>microbials influence this,</w:t>
      </w:r>
      <w:r w:rsidR="00162F51" w:rsidRPr="000767AE">
        <w:rPr>
          <w:rFonts w:ascii="Arial" w:hAnsi="Arial" w:cs="Arial"/>
          <w:sz w:val="24"/>
          <w:szCs w:val="24"/>
        </w:rPr>
        <w:t xml:space="preserve"> </w:t>
      </w:r>
      <w:r w:rsidR="00957093" w:rsidRPr="000767AE">
        <w:rPr>
          <w:rFonts w:ascii="Arial" w:hAnsi="Arial" w:cs="Arial"/>
          <w:sz w:val="24"/>
          <w:szCs w:val="24"/>
        </w:rPr>
        <w:t xml:space="preserve">not only </w:t>
      </w:r>
      <w:r w:rsidR="00943FD6" w:rsidRPr="000767AE">
        <w:rPr>
          <w:rFonts w:ascii="Arial" w:hAnsi="Arial" w:cs="Arial"/>
          <w:sz w:val="24"/>
          <w:szCs w:val="24"/>
        </w:rPr>
        <w:t xml:space="preserve">by </w:t>
      </w:r>
      <w:r w:rsidR="00957093" w:rsidRPr="000767AE">
        <w:rPr>
          <w:rFonts w:ascii="Arial" w:hAnsi="Arial" w:cs="Arial"/>
          <w:sz w:val="24"/>
          <w:szCs w:val="24"/>
        </w:rPr>
        <w:t>exerting</w:t>
      </w:r>
      <w:r w:rsidR="00162F51" w:rsidRPr="000767AE">
        <w:rPr>
          <w:rFonts w:ascii="Arial" w:hAnsi="Arial" w:cs="Arial"/>
          <w:sz w:val="24"/>
          <w:szCs w:val="24"/>
        </w:rPr>
        <w:t xml:space="preserve"> a selective pressure</w:t>
      </w:r>
      <w:r w:rsidR="00957093" w:rsidRPr="000767AE">
        <w:rPr>
          <w:rFonts w:ascii="Arial" w:hAnsi="Arial" w:cs="Arial"/>
          <w:sz w:val="24"/>
          <w:szCs w:val="24"/>
        </w:rPr>
        <w:t xml:space="preserve"> towards emergence of AMR</w:t>
      </w:r>
      <w:r w:rsidR="00162F51" w:rsidRPr="000767AE">
        <w:rPr>
          <w:rFonts w:ascii="Arial" w:hAnsi="Arial" w:cs="Arial"/>
          <w:sz w:val="24"/>
          <w:szCs w:val="24"/>
        </w:rPr>
        <w:t>, but also</w:t>
      </w:r>
      <w:r w:rsidR="00943FD6" w:rsidRPr="000767AE">
        <w:rPr>
          <w:rFonts w:ascii="Arial" w:hAnsi="Arial" w:cs="Arial"/>
          <w:sz w:val="24"/>
          <w:szCs w:val="24"/>
        </w:rPr>
        <w:t xml:space="preserve"> by</w:t>
      </w:r>
      <w:r w:rsidR="00162F51" w:rsidRPr="000767AE">
        <w:rPr>
          <w:rFonts w:ascii="Arial" w:hAnsi="Arial" w:cs="Arial"/>
          <w:sz w:val="24"/>
          <w:szCs w:val="24"/>
        </w:rPr>
        <w:t xml:space="preserve"> induc</w:t>
      </w:r>
      <w:r w:rsidR="00957093" w:rsidRPr="000767AE">
        <w:rPr>
          <w:rFonts w:ascii="Arial" w:hAnsi="Arial" w:cs="Arial"/>
          <w:sz w:val="24"/>
          <w:szCs w:val="24"/>
        </w:rPr>
        <w:t>ing</w:t>
      </w:r>
      <w:r w:rsidR="00162F51" w:rsidRPr="000767AE">
        <w:rPr>
          <w:rFonts w:ascii="Arial" w:hAnsi="Arial" w:cs="Arial"/>
          <w:sz w:val="24"/>
          <w:szCs w:val="24"/>
        </w:rPr>
        <w:t xml:space="preserve"> transfer of resistance determinants</w:t>
      </w:r>
      <w:r w:rsidR="00957093" w:rsidRPr="000767AE">
        <w:rPr>
          <w:rFonts w:ascii="Arial" w:hAnsi="Arial" w:cs="Arial"/>
          <w:sz w:val="24"/>
          <w:szCs w:val="24"/>
        </w:rPr>
        <w:t xml:space="preserve"> between micro-organisms</w:t>
      </w:r>
      <w:r w:rsidR="00162F51" w:rsidRPr="000767AE">
        <w:rPr>
          <w:rFonts w:ascii="Arial" w:hAnsi="Arial" w:cs="Arial"/>
          <w:sz w:val="24"/>
          <w:szCs w:val="24"/>
        </w:rPr>
        <w:t>.</w:t>
      </w:r>
      <w:r w:rsidR="00162F51" w:rsidRPr="000767AE">
        <w:rPr>
          <w:rFonts w:ascii="Arial" w:hAnsi="Arial" w:cs="Arial"/>
          <w:sz w:val="24"/>
          <w:szCs w:val="24"/>
        </w:rPr>
        <w:fldChar w:fldCharType="begin" w:fldLock="1"/>
      </w:r>
      <w:r w:rsidR="009E0BAE">
        <w:rPr>
          <w:rFonts w:ascii="Arial" w:hAnsi="Arial" w:cs="Arial"/>
          <w:sz w:val="24"/>
          <w:szCs w:val="24"/>
        </w:rPr>
        <w:instrText>ADDIN CSL_CITATION { "citationItems" : [ { "id" : "ITEM-1", "itemData" : { "DOI" : "10.1038/nature02241", "ISSN" : "1476-4687", "PMID" : "14688795", "abstract" : "Mobile genetic elements have a crucial role in spreading antibiotic resistance genes among bacterial populations. Environmental and genetic factors that regulate conjugative transfer of antibiotic resistance genes in bacterial populations are largely unknown. Integrating conjugative elements (ICEs) are a diverse group of mobile elements that are transferred by means of cell-cell contact and integrate into the chromosome of the new host. SXT is a approximately 100-kilobase ICE derived from Vibrio cholerae that encodes genes that confer resistance to chloramphenicol, sulphamethoxazole, trimethoprim and streptomycin. SXT-related elements were not detected in V. cholerae before 1993 but are now present in almost all clinical V. cholerae isolates from Asia. ICEs related to SXT are also present in several other bacterial species and encode a variety of antibiotic and heavy metal resistance genes. Here we show that SetR, an SXT encoded repressor, represses the expression of activators of SXT transfer. The 'SOS response' to DNA damage alleviates this repression, increasing the expression of genes necessary for SXT transfer and hence the frequency of transfer. SOS is induced by a variety of environmental factors and antibiotics, for example ciprofloxacin, and we show that ciprofloxacin induces SXT transfer as well. Thus, we present a mechanism by which therapeutic agents can promote the spread of antibiotic resistance genes.", "author" : [ { "dropping-particle" : "", "family" : "Beaber", "given" : "John W", "non-dropping-particle" : "", "parse-names" : false, "suffix" : "" }, { "dropping-particle" : "", "family" : "Hochhut", "given" : "Bianca", "non-dropping-particle" : "", "parse-names" : false, "suffix" : "" }, { "dropping-particle" : "", "family" : "Waldor", "given" : "Matthew K", "non-dropping-particle" : "", "parse-names" : false, "suffix" : "" } ], "container-title" : "Nature", "id" : "ITEM-1", "issue" : "6969", "issued" : { "date-parts" : [ [ "2004", "1", "1" ] ] }, "page" : "72-4", "title" : "SOS response promotes horizontal dissemination of antibiotic resistance genes.", "type" : "article-journal", "volume" : "427" }, "uris" : [ "http://www.mendeley.com/documents/?uuid=4c40e41d-4339-4f18-abcf-fd83ca1e94af" ] } ], "mendeley" : { "formattedCitation" : "&lt;sup&gt;41&lt;/sup&gt;", "plainTextFormattedCitation" : "41", "previouslyFormattedCitation" : "&lt;sup&gt;42&lt;/sup&gt;" }, "properties" : { "noteIndex" : 0 }, "schema" : "https://github.com/citation-style-language/schema/raw/master/csl-citation.json" }</w:instrText>
      </w:r>
      <w:r w:rsidR="00162F51" w:rsidRPr="000767AE">
        <w:rPr>
          <w:rFonts w:ascii="Arial" w:hAnsi="Arial" w:cs="Arial"/>
          <w:sz w:val="24"/>
          <w:szCs w:val="24"/>
        </w:rPr>
        <w:fldChar w:fldCharType="separate"/>
      </w:r>
      <w:r w:rsidR="009E0BAE" w:rsidRPr="009E0BAE">
        <w:rPr>
          <w:rFonts w:ascii="Arial" w:hAnsi="Arial" w:cs="Arial"/>
          <w:noProof/>
          <w:sz w:val="24"/>
          <w:szCs w:val="24"/>
          <w:vertAlign w:val="superscript"/>
        </w:rPr>
        <w:t>41</w:t>
      </w:r>
      <w:r w:rsidR="00162F51" w:rsidRPr="000767AE">
        <w:rPr>
          <w:rFonts w:ascii="Arial" w:hAnsi="Arial" w:cs="Arial"/>
          <w:sz w:val="24"/>
          <w:szCs w:val="24"/>
        </w:rPr>
        <w:fldChar w:fldCharType="end"/>
      </w:r>
    </w:p>
    <w:p w14:paraId="425DE05E" w14:textId="77777777" w:rsidR="00A053CE" w:rsidRPr="000767AE" w:rsidRDefault="00A053CE" w:rsidP="00A053CE">
      <w:pPr>
        <w:rPr>
          <w:rFonts w:ascii="Arial" w:hAnsi="Arial" w:cs="Arial"/>
          <w:sz w:val="24"/>
          <w:szCs w:val="24"/>
        </w:rPr>
      </w:pPr>
    </w:p>
    <w:p w14:paraId="267541D4" w14:textId="77777777" w:rsidR="00A053CE" w:rsidRPr="000767AE" w:rsidRDefault="00A053CE" w:rsidP="00A053CE">
      <w:pPr>
        <w:pStyle w:val="Heading3"/>
        <w:spacing w:before="0"/>
        <w:rPr>
          <w:rFonts w:ascii="Arial" w:hAnsi="Arial"/>
          <w:i/>
          <w:lang w:eastAsia="en-GB"/>
        </w:rPr>
      </w:pPr>
      <w:bookmarkStart w:id="7" w:name="_Toc381719164"/>
      <w:r w:rsidRPr="000767AE">
        <w:rPr>
          <w:rFonts w:ascii="Arial" w:hAnsi="Arial"/>
          <w:i/>
          <w:lang w:eastAsia="en-GB"/>
        </w:rPr>
        <w:t>2) How does human-human transmission drive resistance?</w:t>
      </w:r>
      <w:bookmarkEnd w:id="7"/>
    </w:p>
    <w:p w14:paraId="7B6B2705" w14:textId="68CE6036" w:rsidR="00A053CE" w:rsidRPr="000767AE" w:rsidRDefault="00A053CE" w:rsidP="00A053CE">
      <w:pPr>
        <w:rPr>
          <w:rFonts w:ascii="Arial" w:hAnsi="Arial" w:cs="Arial"/>
          <w:sz w:val="24"/>
          <w:szCs w:val="24"/>
          <w:lang w:val="en-US"/>
        </w:rPr>
      </w:pPr>
      <w:r w:rsidRPr="000767AE">
        <w:rPr>
          <w:rFonts w:ascii="Arial" w:hAnsi="Arial" w:cs="Arial"/>
          <w:sz w:val="24"/>
          <w:szCs w:val="24"/>
          <w:lang w:val="en-US"/>
        </w:rPr>
        <w:t>Modelling of transmission dynamics has improved understanding of how human</w:t>
      </w:r>
      <w:r w:rsidR="00FC5018" w:rsidRPr="000767AE">
        <w:rPr>
          <w:rFonts w:ascii="Arial" w:hAnsi="Arial" w:cs="Arial"/>
          <w:sz w:val="24"/>
          <w:szCs w:val="24"/>
          <w:lang w:val="en-US"/>
        </w:rPr>
        <w:t>-</w:t>
      </w:r>
      <w:r w:rsidRPr="000767AE">
        <w:rPr>
          <w:rFonts w:ascii="Arial" w:hAnsi="Arial" w:cs="Arial"/>
          <w:sz w:val="24"/>
          <w:szCs w:val="24"/>
          <w:lang w:val="en-US"/>
        </w:rPr>
        <w:t>human transmission contribut</w:t>
      </w:r>
      <w:r w:rsidR="00A207F8" w:rsidRPr="000767AE">
        <w:rPr>
          <w:rFonts w:ascii="Arial" w:hAnsi="Arial" w:cs="Arial"/>
          <w:sz w:val="24"/>
          <w:szCs w:val="24"/>
          <w:lang w:val="en-US"/>
        </w:rPr>
        <w:t>es</w:t>
      </w:r>
      <w:r w:rsidRPr="000767AE">
        <w:rPr>
          <w:rFonts w:ascii="Arial" w:hAnsi="Arial" w:cs="Arial"/>
          <w:sz w:val="24"/>
          <w:szCs w:val="24"/>
          <w:lang w:val="en-US"/>
        </w:rPr>
        <w:t xml:space="preserve"> </w:t>
      </w:r>
      <w:r w:rsidR="00AC024D" w:rsidRPr="000767AE">
        <w:rPr>
          <w:rFonts w:ascii="Arial" w:hAnsi="Arial" w:cs="Arial"/>
          <w:sz w:val="24"/>
          <w:szCs w:val="24"/>
          <w:lang w:val="en-US"/>
        </w:rPr>
        <w:t xml:space="preserve">to </w:t>
      </w:r>
      <w:r w:rsidRPr="000767AE">
        <w:rPr>
          <w:rFonts w:ascii="Arial" w:hAnsi="Arial" w:cs="Arial"/>
          <w:sz w:val="24"/>
          <w:szCs w:val="24"/>
          <w:lang w:val="en-US"/>
        </w:rPr>
        <w:t>the spread of pathogens</w:t>
      </w:r>
      <w:r w:rsidR="005551C8" w:rsidRPr="000767AE">
        <w:rPr>
          <w:rFonts w:ascii="Arial" w:hAnsi="Arial" w:cs="Arial"/>
          <w:sz w:val="24"/>
          <w:szCs w:val="24"/>
          <w:lang w:val="en-US"/>
        </w:rPr>
        <w:t xml:space="preserve"> and</w:t>
      </w:r>
      <w:r w:rsidRPr="000767AE">
        <w:rPr>
          <w:rFonts w:ascii="Arial" w:hAnsi="Arial" w:cs="Arial"/>
          <w:sz w:val="24"/>
          <w:szCs w:val="24"/>
          <w:lang w:val="en-US"/>
        </w:rPr>
        <w:t xml:space="preserve"> AMR</w:t>
      </w:r>
      <w:r w:rsidRPr="003234D2">
        <w:rPr>
          <w:rFonts w:ascii="Arial" w:hAnsi="Arial" w:cs="Arial"/>
          <w:sz w:val="24"/>
          <w:szCs w:val="24"/>
          <w:highlight w:val="yellow"/>
          <w:lang w:val="en-US"/>
        </w:rPr>
        <w:t>.</w:t>
      </w:r>
      <w:r w:rsidR="00FE1E56">
        <w:rPr>
          <w:rFonts w:ascii="Arial" w:hAnsi="Arial" w:cs="Arial"/>
          <w:sz w:val="24"/>
          <w:szCs w:val="24"/>
          <w:highlight w:val="yellow"/>
          <w:lang w:val="en-US"/>
        </w:rPr>
        <w:fldChar w:fldCharType="begin" w:fldLock="1"/>
      </w:r>
      <w:r w:rsidR="009E0BAE">
        <w:rPr>
          <w:rFonts w:ascii="Arial" w:hAnsi="Arial" w:cs="Arial"/>
          <w:sz w:val="24"/>
          <w:szCs w:val="24"/>
          <w:highlight w:val="yellow"/>
          <w:lang w:val="en-US"/>
        </w:rPr>
        <w:instrText>ADDIN CSL_CITATION { "citationItems" : [ { "id" : "ITEM-1", "itemData" : { "author" : [ { "dropping-particle" : "", "family" : "Laxminarayan", "given" : "Ramanan", "non-dropping-particle" : "", "parse-names" : false, "suffix" : "" }, { "dropping-particle" : "", "family" : "Duse", "given" : "Adriano", "non-dropping-particle" : "", "parse-names" : false, "suffix" : "" }, { "dropping-particle" : "", "family" : "Wattal", "given" : "Chand", "non-dropping-particle" : "", "parse-names" : false, "suffix" : "" }, { "dropping-particle" : "", "family" : "Zaidi", "given" : "Anita K M", "non-dropping-particle" : "", "parse-names" : false, "suffix" : "" }, { "dropping-particle" : "", "family" : "Wertheim", "given" : "Heiman F L", "non-dropping-particle" : "", "parse-names" : false, "suffix" : "" }, { "dropping-particle" : "", "family" : "Sumpradit", "given" : "Nithima", "non-dropping-particle" : "", "parse-names" : false, "suffix" : "" }, { "dropping-particle" : "", "family" : "Vlieghe", "given" : "Erika", "non-dropping-particle" : "", "parse-names" : false, "suffix" : "" }, { "dropping-particle" : "", "family" : "Hara", "given" : "Gabriel Levy", "non-dropping-particle" : "", "parse-names" : false, "suffix" : "" }, { "dropping-particle" : "", "family" : "Gould", "given" : "Ian M", "non-dropping-particle" : "", "parse-names" : false, "suffix" : "" }, { "dropping-particle" : "", "family" : "Goossens", "given" : "Herman", "non-dropping-particle" : "", "parse-names" : false, "suffix" : "" }, { "dropping-particle" : "", "family" : "Greko", "given" : "Christina", "non-dropping-particle" : "", "parse-names" : false, "suffix" : "" }, { "dropping-particle" : "", "family" : "So", "given" : "Anthony D", "non-dropping-particle" : "", "parse-names" : false, "suffix" : "" }, { "dropping-particle" : "", "family" : "Bigdeli", "given" : "Maryam", "non-dropping-particle" : "", "parse-names" : false, "suffix" : "" }, { "dropping-particle" : "", "family" : "Tomson", "given" : "G\u00f6ran", "non-dropping-particle" : "", "parse-names" : false, "suffix" : "" }, { "dropping-particle" : "", "family" : "Woodhouse", "given" : "Will", "non-dropping-particle" : "", "parse-names" : false, "suffix" : "" }, { "dropping-particle" : "", "family" : "Ombaka", "given" : "Eva", "non-dropping-particle" : "", "parse-names" : false, "suffix" : "" }, { "dropping-particle" : "", "family" : "Peralta", "given" : "Arturo Quizhpe", "non-dropping-particle" : "", "parse-names" : false, "suffix" : "" }, { "dropping-particle" : "", "family" : "Qamar", "given" : "Farah Naz", "non-dropping-particle" : "", "parse-names" : false, "suffix" : "" }, { "dropping-particle" : "", "family" : "Mir", "given" : "Fatima", "non-dropping-particle" : "", "parse-names" : false, "suffix" : "" }, { "dropping-particle" : "", "family" : "Kariuki", "given" : "Sam", "non-dropping-particle" : "", "parse-names" : false, "suffix" : "" }, { "dropping-particle" : "", "family" : "Bhutta", "given" : "Zulfiqar A", "non-dropping-particle" : "", "parse-names" : false, "suffix" : "" }, { "dropping-particle" : "", "family" : "Coates", "given" : "Anthony", "non-dropping-particle" : "", "parse-names" : false, "suffix" : "" }, { "dropping-particle" : "", "family" : "Bergstrom", "given" : "Richard", "non-dropping-particle" : "", "parse-names" : false, "suffix" : "" }, { "dropping-particle" : "", "family" : "Wright", "given" : "Gerard D", "non-dropping-particle" : "", "parse-names" : false, "suffix" : "" }, { "dropping-particle" : "", "family" : "Brown", "given" : "Eric D", "non-dropping-particle" : "", "parse-names" : false, "suffix" : "" }, { "dropping-particle" : "", "family" : "Cars", "given" : "Otto", "non-dropping-particle" : "", "parse-names" : false, "suffix" : "" } ], "container-title" : "Lancet Infectious Diseases", "id" : "ITEM-1", "issue" : "12", "issued" : { "date-parts" : [ [ "2013" ] ] }, "page" : "1057-98", "title" : "Antibiotic resistance-the need for global solutions.", "type" : "article-journal", "volume" : "13" }, "uris" : [ "http://www.mendeley.com/documents/?uuid=3ca22af9-bb87-4e1f-9ff0-97f74a412440" ] }, { "id" : "ITEM-2", "itemData" : { "author" : [ { "dropping-particle" : "", "family" : "World Health Organization", "given" : "", "non-dropping-particle" : "", "parse-names" : false, "suffix" : "" } ], "container-title" : "2012", "id" : "ITEM-2", "issued" : { "date-parts" : [ [ "2012" ] ] }, "publisher-place" : "Geneva", "title" : "The evolving threat of antimicrobial resistance: Options for action", "type" : "report" }, "uris" : [ "http://www.mendeley.com/documents/?uuid=d7dc2532-070a-4f17-a252-61a578e46efa" ] } ], "mendeley" : { "formattedCitation" : "&lt;sup&gt;21,22&lt;/sup&gt;", "plainTextFormattedCitation" : "21,22", "previouslyFormattedCitation" : "&lt;sup&gt;22,23&lt;/sup&gt;" }, "properties" : { "noteIndex" : 0 }, "schema" : "https://github.com/citation-style-language/schema/raw/master/csl-citation.json" }</w:instrText>
      </w:r>
      <w:r w:rsidR="00FE1E56">
        <w:rPr>
          <w:rFonts w:ascii="Arial" w:hAnsi="Arial" w:cs="Arial"/>
          <w:sz w:val="24"/>
          <w:szCs w:val="24"/>
          <w:highlight w:val="yellow"/>
          <w:lang w:val="en-US"/>
        </w:rPr>
        <w:fldChar w:fldCharType="separate"/>
      </w:r>
      <w:r w:rsidR="009E0BAE" w:rsidRPr="009E0BAE">
        <w:rPr>
          <w:rFonts w:ascii="Arial" w:hAnsi="Arial" w:cs="Arial"/>
          <w:noProof/>
          <w:sz w:val="24"/>
          <w:szCs w:val="24"/>
          <w:highlight w:val="yellow"/>
          <w:vertAlign w:val="superscript"/>
          <w:lang w:val="en-US"/>
        </w:rPr>
        <w:t>21,22</w:t>
      </w:r>
      <w:r w:rsidR="00FE1E56">
        <w:rPr>
          <w:rFonts w:ascii="Arial" w:hAnsi="Arial" w:cs="Arial"/>
          <w:sz w:val="24"/>
          <w:szCs w:val="24"/>
          <w:highlight w:val="yellow"/>
          <w:lang w:val="en-US"/>
        </w:rPr>
        <w:fldChar w:fldCharType="end"/>
      </w:r>
      <w:r w:rsidR="00676552" w:rsidRPr="000767AE">
        <w:rPr>
          <w:rFonts w:ascii="Arial" w:hAnsi="Arial" w:cs="Arial"/>
          <w:sz w:val="24"/>
          <w:szCs w:val="24"/>
          <w:lang w:val="en-US"/>
        </w:rPr>
        <w:t xml:space="preserve"> In the community</w:t>
      </w:r>
      <w:r w:rsidRPr="000767AE">
        <w:rPr>
          <w:rFonts w:ascii="Arial" w:hAnsi="Arial" w:cs="Arial"/>
          <w:sz w:val="24"/>
          <w:szCs w:val="24"/>
          <w:lang w:val="en-US"/>
        </w:rPr>
        <w:t>, faec</w:t>
      </w:r>
      <w:r w:rsidR="00A207F8" w:rsidRPr="000767AE">
        <w:rPr>
          <w:rFonts w:ascii="Arial" w:hAnsi="Arial" w:cs="Arial"/>
          <w:sz w:val="24"/>
          <w:szCs w:val="24"/>
          <w:lang w:val="en-US"/>
        </w:rPr>
        <w:t>al</w:t>
      </w:r>
      <w:r w:rsidRPr="000767AE">
        <w:rPr>
          <w:rFonts w:ascii="Arial" w:hAnsi="Arial" w:cs="Arial"/>
          <w:sz w:val="24"/>
          <w:szCs w:val="24"/>
          <w:lang w:val="en-US"/>
        </w:rPr>
        <w:t xml:space="preserve">-oral transmission, often through failures in sanitation, plays an important role </w:t>
      </w:r>
      <w:r w:rsidR="008006C6" w:rsidRPr="000767AE">
        <w:rPr>
          <w:rFonts w:ascii="Arial" w:hAnsi="Arial" w:cs="Arial"/>
          <w:sz w:val="24"/>
          <w:szCs w:val="24"/>
          <w:lang w:val="en-US"/>
        </w:rPr>
        <w:t xml:space="preserve">particularly </w:t>
      </w:r>
      <w:r w:rsidR="00FC5018" w:rsidRPr="000767AE">
        <w:rPr>
          <w:rFonts w:ascii="Arial" w:hAnsi="Arial" w:cs="Arial"/>
          <w:sz w:val="24"/>
          <w:szCs w:val="24"/>
          <w:lang w:val="en-US"/>
        </w:rPr>
        <w:t>for</w:t>
      </w:r>
      <w:r w:rsidR="008006C6" w:rsidRPr="000767AE">
        <w:rPr>
          <w:rFonts w:ascii="Arial" w:hAnsi="Arial" w:cs="Arial"/>
          <w:sz w:val="24"/>
          <w:szCs w:val="24"/>
          <w:lang w:val="en-US"/>
        </w:rPr>
        <w:t xml:space="preserve"> resistant Enterobacteriaceae</w:t>
      </w:r>
      <w:r w:rsidRPr="000767AE">
        <w:rPr>
          <w:rFonts w:ascii="Arial" w:hAnsi="Arial" w:cs="Arial"/>
          <w:sz w:val="24"/>
          <w:szCs w:val="24"/>
          <w:lang w:val="en-US"/>
        </w:rPr>
        <w:t>.</w:t>
      </w:r>
      <w:r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"10.1016/S1473-3099(12)70317-1", "ISSN" : "1474-4457", "PMID" : "23347633", "abstract" : "During the past 10 years, multidrug-resistant Gram-negative Enterobacteriaceae have become a substantial challenge to infection control. It has been suggested by clinicians that the effectiveness of antibiotics is in such rapid decline that, depending on the pathogen concerned, their future utility can be measured in decades or even years. Unless the rise in antibiotic resistance can be reversed, we can expect to see a substantial rise in incurable infection and fatality in both developed and developing regions. Antibiotic resistance develops through complex interactions, with resistance arising by de-novo mutation under clinical antibiotic selection or frequently by acquisition of mobile genes that have evolved over time in bacteria in the environment. The reservoir of resistance genes in the environment is due to a mix of naturally occurring resistance and those present in animal and human waste and the selective effects of pollutants, which can co-select for mobile genetic elements carrying multiple resistant genes. Less attention has been given to how anthropogenic activity might be causing evolution of antibiotic resistance in the environment. Although the economics of the pharmaceutical industry continue to restrict investment in novel biomedical responses, action must be taken to avoid the conjunction of factors that promote evolution and spread of antibiotic resistance.", "author" : [ { "dropping-particle" : "", "family" : "Wellington", "given" : "Elizabeth M H", "non-dropping-particle" : "", "parse-names" : false, "suffix" : "" }, { "dropping-particle" : "", "family" : "Boxall", "given" : "Alistair B", "non-dropping-particle" : "", "parse-names" : false, "suffix" : "" }, { "dropping-particle" : "", "family" : "Cross", "given" : "Paul", "non-dropping-particle" : "", "parse-names" : false, "suffix" : "" }, { "dropping-particle" : "", "family" : "Feil", "given" : "Edward J", "non-dropping-particle" : "", "parse-names" : false, "suffix" : "" }, { "dropping-particle" : "", "family" : "Gaze", "given" : "William H", "non-dropping-particle" : "", "parse-names" : false, "suffix" : "" }, { "dropping-particle" : "", "family" : "Hawkey", "given" : "Peter M", "non-dropping-particle" : "", "parse-names" : false, "suffix" : "" }, { "dropping-particle" : "", "family" : "Johnson-Rollings", "given" : "Ashley S", "non-dropping-particle" : "", "parse-names" : false, "suffix" : "" }, { "dropping-particle" : "", "family" : "Jones", "given" : "Davey L", "non-dropping-particle" : "", "parse-names" : false, "suffix" : "" }, { "dropping-particle" : "", "family" : "Lee", "given" : "Nicholas M", "non-dropping-particle" : "", "parse-names" : false, "suffix" : "" }, { "dropping-particle" : "", "family" : "Otten", "given" : "Wilfred", "non-dropping-particle" : "", "parse-names" : false, "suffix" : "" }, { "dropping-particle" : "", "family" : "Thomas", "given" : "Christopher M", "non-dropping-particle" : "", "parse-names" : false, "suffix" : "" }, { "dropping-particle" : "", "family" : "Williams", "given" : "a Prysor", "non-dropping-particle" : "", "parse-names" : false, "suffix" : "" } ], "container-title" : "Lancet Infectious Diseases", "id" : "ITEM-1", "issue" : "2", "issued" : { "date-parts" : [ [ "2013", "2" ] ] }, "page" : "155-65", "publisher" : "Elsevier Ltd", "title" : "The role of the natural environment in the emergence of antibiotic resistance in gram-negative bacteria.", "type" : "article-journal", "volume" : "13" }, "uris" : [ "http://www.mendeley.com/documents/?uuid=e1c7dc2e-0421-4334-9116-3a937a56ae99" ] } ], "mendeley" : { "formattedCitation" : "&lt;sup&gt;42&lt;/sup&gt;", "plainTextFormattedCitation" : "42", "previouslyFormattedCitation" : "&lt;sup&gt;43&lt;/sup&gt;" }, "properties" : { "noteIndex" : 0 }, "schema" : "https://github.com/citation-style-language/schema/raw/master/csl-citation.json" }</w:instrText>
      </w:r>
      <w:r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42</w:t>
      </w:r>
      <w:r w:rsidRPr="000767AE">
        <w:rPr>
          <w:rFonts w:ascii="Arial" w:hAnsi="Arial" w:cs="Arial"/>
          <w:sz w:val="24"/>
          <w:szCs w:val="24"/>
          <w:lang w:val="en-US"/>
        </w:rPr>
        <w:fldChar w:fldCharType="end"/>
      </w:r>
      <w:r w:rsidRPr="000767AE">
        <w:rPr>
          <w:rFonts w:ascii="Arial" w:hAnsi="Arial" w:cs="Arial"/>
          <w:sz w:val="24"/>
          <w:szCs w:val="24"/>
          <w:lang w:val="en-US"/>
        </w:rPr>
        <w:t xml:space="preserve"> Transmission can also occur through sexual encounters</w:t>
      </w:r>
      <w:r w:rsidR="00FC5018" w:rsidRPr="000767AE">
        <w:rPr>
          <w:rFonts w:ascii="Arial" w:hAnsi="Arial" w:cs="Arial"/>
          <w:sz w:val="24"/>
          <w:szCs w:val="24"/>
          <w:lang w:val="en-US"/>
        </w:rPr>
        <w:t>; for</w:t>
      </w:r>
      <w:r w:rsidRPr="000767AE">
        <w:rPr>
          <w:rFonts w:ascii="Arial" w:hAnsi="Arial" w:cs="Arial"/>
          <w:sz w:val="24"/>
          <w:szCs w:val="24"/>
          <w:lang w:val="en-US"/>
        </w:rPr>
        <w:t xml:space="preserve"> </w:t>
      </w:r>
      <w:r w:rsidRPr="000767AE">
        <w:rPr>
          <w:rFonts w:ascii="Arial" w:hAnsi="Arial" w:cs="Arial"/>
          <w:i/>
          <w:sz w:val="24"/>
          <w:szCs w:val="24"/>
          <w:lang w:val="en-US"/>
        </w:rPr>
        <w:t>N.</w:t>
      </w:r>
      <w:r w:rsidRPr="000767AE">
        <w:rPr>
          <w:rFonts w:ascii="Arial" w:hAnsi="Arial" w:cs="Arial"/>
          <w:sz w:val="24"/>
          <w:szCs w:val="24"/>
          <w:lang w:val="en-US"/>
        </w:rPr>
        <w:t xml:space="preserve"> </w:t>
      </w:r>
      <w:r w:rsidRPr="000767AE">
        <w:rPr>
          <w:rFonts w:ascii="Arial" w:hAnsi="Arial" w:cs="Arial"/>
          <w:i/>
          <w:sz w:val="24"/>
          <w:szCs w:val="24"/>
          <w:lang w:val="en-US"/>
        </w:rPr>
        <w:t>gonorrhoea</w:t>
      </w:r>
      <w:r w:rsidR="00FD4025" w:rsidRPr="000767AE">
        <w:rPr>
          <w:rFonts w:ascii="Arial" w:hAnsi="Arial" w:cs="Arial"/>
          <w:i/>
          <w:sz w:val="24"/>
          <w:szCs w:val="24"/>
          <w:lang w:val="en-US"/>
        </w:rPr>
        <w:t>e</w:t>
      </w:r>
      <w:r w:rsidRPr="000767AE">
        <w:rPr>
          <w:rFonts w:ascii="Arial" w:hAnsi="Arial" w:cs="Arial"/>
          <w:sz w:val="24"/>
          <w:szCs w:val="24"/>
          <w:lang w:val="en-US"/>
        </w:rPr>
        <w:t xml:space="preserve"> core groups have contributed to widespread dissemination of resistant clones.</w:t>
      </w:r>
      <w:r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"10.1136/sextrans-2013-051020", "ISSN" : "1472-3263", "PMID" : "24243880", "abstract" : "Core groups contain individuals who are regularly infected with Neisseria gonorrhoeae and are able to transmit their infection to a large number of sexual partners. Classical core groups, such as sex workers and their male partners, or men who have sex with men (MSM), have contributed to the emergence and spread of antimicrobial-resistant N gonorrhoeae over many years. Sex workers and their clients were the most important core group driving the dissemination of penicillinase-producing N gonorrhoeae in the 1970s. Such individuals have continued to contribute to penicillinase-producing N gonorrhoeae outbreaks as well as to the subsequent emergence of gonococcal resistance to fluoroquinolones, macrolides, spectinomycin and cephalosporins in various settings. MSM have been a very important core group since the 1980s, first with the spread of TetM-expressing N gonorrhoeae and, second, with the dissemination of fluoroquinolone-resistant N gonorrhoeae. MSM-associated sexual networks have most recently been critical to the spread of gonococci resistant to third generation extended spectrum cephalosporins, including cefixime and ceftriaxone. Individuals within other core groups have also been linked to the transmission of antimicrobial-resistant gonorrhoea, such as military personnel, travellers, drug users, young adults, older men and members of street gangs. Understanding core behaviours and their geospatial clustering is essential for an optimal public health response to the rising prevalence of antimicrobial-resistant gonorrhoea. Furthermore, rapid and effective treatment of N gonorrhoeae infections in core individuals and their sexual partners should be a priority for gonorrhoea control programmes.", "author" : [ { "dropping-particle" : "", "family" : "Lewis", "given" : "D A", "non-dropping-particle" : "", "parse-names" : false, "suffix" : "" } ], "container-title" : "Sexually Transmitted Infections", "id" : "ITEM-1", "issue" : "Suppl 4", "issued" : { "date-parts" : [ [ "2013", "12" ] ] }, "page" : "47-51", "title" : "The role of core groups in the emergence and dissemination of antimicrobial-resistant N gonorrhoeae.", "type" : "article-journal", "volume" : "89" }, "uris" : [ "http://www.mendeley.com/documents/?uuid=2b875491-5b54-4775-ad2a-104035fbf8d4" ] } ], "mendeley" : { "formattedCitation" : "&lt;sup&gt;43&lt;/sup&gt;", "plainTextFormattedCitation" : "43", "previouslyFormattedCitation" : "&lt;sup&gt;44&lt;/sup&gt;" }, "properties" : { "noteIndex" : 0 }, "schema" : "https://github.com/citation-style-language/schema/raw/master/csl-citation.json" }</w:instrText>
      </w:r>
      <w:r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43</w:t>
      </w:r>
      <w:r w:rsidRPr="000767AE">
        <w:rPr>
          <w:rFonts w:ascii="Arial" w:hAnsi="Arial" w:cs="Arial"/>
          <w:sz w:val="24"/>
          <w:szCs w:val="24"/>
          <w:lang w:val="en-US"/>
        </w:rPr>
        <w:fldChar w:fldCharType="end"/>
      </w:r>
      <w:r w:rsidRPr="000767AE" w:rsidDel="00D91AD1">
        <w:rPr>
          <w:rFonts w:ascii="Arial" w:hAnsi="Arial" w:cs="Arial"/>
          <w:sz w:val="24"/>
          <w:szCs w:val="24"/>
          <w:lang w:val="en-US"/>
        </w:rPr>
        <w:t xml:space="preserve"> </w:t>
      </w:r>
      <w:r w:rsidRPr="000767AE">
        <w:rPr>
          <w:rFonts w:ascii="Arial" w:hAnsi="Arial" w:cs="Arial"/>
          <w:sz w:val="24"/>
          <w:szCs w:val="24"/>
          <w:lang w:val="en-US"/>
        </w:rPr>
        <w:t xml:space="preserve">Perhaps where the dynamics of </w:t>
      </w:r>
      <w:r w:rsidRPr="000767AE">
        <w:rPr>
          <w:rFonts w:ascii="Arial" w:hAnsi="Arial" w:cs="Arial"/>
          <w:sz w:val="24"/>
          <w:szCs w:val="24"/>
          <w:lang w:val="en-US"/>
        </w:rPr>
        <w:lastRenderedPageBreak/>
        <w:t>transmission are best understood is in the context of healthcare associated infections. Using MRSA as an example, modelling indicates duration of patient stay and contamination of health-care workers’ hands both contribute to ongoing transmission.</w:t>
      </w:r>
      <w:r w:rsidRPr="000767AE">
        <w:rPr>
          <w:rFonts w:asciiTheme="minorHAnsi" w:hAnsiTheme="minorHAnsi" w:cs="Arial"/>
          <w:sz w:val="24"/>
          <w:szCs w:val="24"/>
          <w:lang w:val="en-US"/>
        </w:rPr>
        <w:fldChar w:fldCharType="begin" w:fldLock="1"/>
      </w:r>
      <w:r w:rsidR="009E0BAE">
        <w:rPr>
          <w:rFonts w:asciiTheme="minorHAnsi" w:hAnsiTheme="minorHAnsi" w:cs="Arial"/>
          <w:sz w:val="24"/>
          <w:szCs w:val="24"/>
          <w:lang w:val="en-US"/>
        </w:rPr>
        <w:instrText>ADDIN CSL_CITATION { "citationItems" : [ { "id" : "ITEM-1", "itemData" : { "DOI" : "10.1186/1742-4682-9-25", "ISSN" : "1742-4682", "PMID" : "22738359", "abstract" : "BACKGROUND: Methicillin-resistant Staphylococcus aureus (MRSA) is endemic in many hospital settings, posing substantial threats and economic burdens worldwide. METHODS: We propose mathematical models to investigate the transmission dynamics of MRSA and determine factors that influence the prevalence of MRSA infection when antibiotics are given to patients to treat or prevent infections with either MRSA itself or other bacterial pathogens. RESULTS: Our results suggest that: (i) MRSA always persists in the hospital when colonized and infected patients are admitted; (ii) the longer the duration of treatment of infected patients and the lower the probability of successful treatment will increase the prevalence of MRSA infection; (iii) the longer the duration of contamination of health care workers (HCWs) and the more their contacts with patients may increase the prevalence of MRSA infection; (iv) possible ways to control the prevalence of MRSA infection include treating patients with antibiotic history as quickly and efficiently as possible, screening and isolating colonized and infected patients at admission, and compliance with strict hand-washing rules by HCWs. CONCLUSION: Our modeling studies offer an approach to investigating MRSA infection in hospital settings and the impact of antibiotic history on the incidence of infection. Our findings suggest important influences on the prevalence of MRSA infection which may be useful in designing control policies.", "author" : [ { "dropping-particle" : "", "family" : "Chamchod", "given" : "Farida", "non-dropping-particle" : "", "parse-names" : false, "suffix" : "" }, { "dropping-particle" : "", "family" : "Ruan", "given" : "Shigui", "non-dropping-particle" : "", "parse-names" : false, "suffix" : "" } ], "container-title" : "Theoretical Biology &amp; Medical Modelling", "id" : "ITEM-1", "issued" : { "date-parts" : [ [ "2012", "1" ] ] }, "page" : "25", "title" : "Modeling methicillin-resistant Staphylococcus aureus in hospitals: transmission dynamics, antibiotic usage and its history.", "type" : "article-journal", "volume" : "9" }, "uris" : [ "http://www.mendeley.com/documents/?uuid=116e9edb-8a74-4ab6-813f-6cd8ad449c72" ] } ], "mendeley" : { "formattedCitation" : "&lt;sup&gt;44&lt;/sup&gt;", "plainTextFormattedCitation" : "44", "previouslyFormattedCitation" : "&lt;sup&gt;45&lt;/sup&gt;" }, "properties" : { "noteIndex" : 0 }, "schema" : "https://github.com/citation-style-language/schema/raw/master/csl-citation.json" }</w:instrText>
      </w:r>
      <w:r w:rsidRPr="000767AE">
        <w:rPr>
          <w:rFonts w:asciiTheme="minorHAnsi" w:hAnsiTheme="minorHAnsi" w:cs="Arial"/>
          <w:sz w:val="24"/>
          <w:szCs w:val="24"/>
          <w:lang w:val="en-US"/>
        </w:rPr>
        <w:fldChar w:fldCharType="separate"/>
      </w:r>
      <w:r w:rsidR="009E0BAE" w:rsidRPr="009E0BAE">
        <w:rPr>
          <w:rFonts w:asciiTheme="minorHAnsi" w:hAnsiTheme="minorHAnsi"/>
          <w:noProof/>
          <w:sz w:val="24"/>
          <w:szCs w:val="24"/>
          <w:vertAlign w:val="superscript"/>
          <w:lang w:eastAsia="en-GB"/>
        </w:rPr>
        <w:t>44</w:t>
      </w:r>
      <w:r w:rsidRPr="000767AE">
        <w:rPr>
          <w:rFonts w:asciiTheme="minorHAnsi" w:hAnsiTheme="minorHAnsi" w:cs="Arial"/>
          <w:sz w:val="24"/>
          <w:szCs w:val="24"/>
          <w:lang w:val="en-US"/>
        </w:rPr>
        <w:fldChar w:fldCharType="end"/>
      </w:r>
      <w:r w:rsidRPr="000767AE">
        <w:rPr>
          <w:rFonts w:ascii="Arial" w:hAnsi="Arial" w:cs="Arial"/>
          <w:sz w:val="24"/>
          <w:szCs w:val="24"/>
          <w:lang w:val="en-US"/>
        </w:rPr>
        <w:t xml:space="preserve"> Use of whole genome sequencing </w:t>
      </w:r>
      <w:r w:rsidR="004A617C" w:rsidRPr="000767AE">
        <w:rPr>
          <w:rFonts w:ascii="Arial" w:hAnsi="Arial" w:cs="Arial"/>
          <w:sz w:val="24"/>
          <w:szCs w:val="24"/>
          <w:lang w:val="en-US"/>
        </w:rPr>
        <w:t>has enabled</w:t>
      </w:r>
      <w:r w:rsidRPr="000767AE">
        <w:rPr>
          <w:rFonts w:ascii="Arial" w:hAnsi="Arial" w:cs="Arial"/>
          <w:sz w:val="24"/>
          <w:szCs w:val="24"/>
          <w:lang w:val="en-US"/>
        </w:rPr>
        <w:t xml:space="preserve"> more detailed epidemiological analysis, providing rapid, fine resolution sequencing to help with mapping outbreaks and delineating transmission points</w:t>
      </w:r>
      <w:r w:rsidR="003234D2" w:rsidRPr="003234D2">
        <w:rPr>
          <w:rFonts w:ascii="Arial" w:hAnsi="Arial" w:cs="Arial"/>
          <w:sz w:val="24"/>
          <w:szCs w:val="24"/>
          <w:highlight w:val="yellow"/>
          <w:lang w:val="en-US"/>
        </w:rPr>
        <w:t>.</w:t>
      </w:r>
      <w:r w:rsidR="003234D2" w:rsidRPr="003234D2">
        <w:rPr>
          <w:rFonts w:ascii="Arial" w:hAnsi="Arial" w:cs="Arial"/>
          <w:sz w:val="24"/>
          <w:szCs w:val="24"/>
          <w:highlight w:val="yellow"/>
          <w:lang w:val="en-US"/>
        </w:rPr>
        <w:fldChar w:fldCharType="begin" w:fldLock="1"/>
      </w:r>
      <w:r w:rsidR="009E0BAE">
        <w:rPr>
          <w:rFonts w:ascii="Arial" w:hAnsi="Arial" w:cs="Arial"/>
          <w:sz w:val="24"/>
          <w:szCs w:val="24"/>
          <w:highlight w:val="yellow"/>
          <w:lang w:val="en-US"/>
        </w:rPr>
        <w:instrText>ADDIN CSL_CITATION { "citationItems" : [ { "id" : "ITEM-1", "itemData" : { "DOI" : "10.1016/S1473-3099(12)70268-2", "ISSN" : "1474-4457", "PMID" : "23158674", "abstract" : "BACKGROUND: The emergence of meticillin-resistant Staphylococcus aureus (MRSA) that can persist in the community and replace existing hospital-adapted lineages of MRSA means that it is necessary to understand transmission dynamics in terms of hospitals and the community as one entity. We assessed the use of whole-genome sequencing to enhance detection of MRSA transmission between these settings. METHODS: We studied a putative MRSA outbreak on a special care baby unit (SCBU) at a National Health Service Foundation Trust in Cambridge, UK. We used whole-genome sequencing to validate and expand findings from an infection-control team who assessed the outbreak through conventional analysis of epidemiological data and antibiogram profiles. We sequenced isolates from all colonised patients in the SCBU, and sequenced MRSA isolates from patients in the hospital or community with the same antibiotic susceptibility profile as the outbreak strain. FINDINGS: The hospital infection-control team identified 12 infants colonised with MRSA in a 6 month period in 2011, who were suspected of being linked, but a persistent outbreak could not be confirmed with conventional methods. With whole-genome sequencing, we identified 26 related cases of MRSA carriage, and showed transmission occurred within the SCBU, between mothers on a postnatal ward, and in the community. The outbreak MRSA type was a new sequence type (ST) 2371, which is closely related to ST22, but contains genes encoding Panton-Valentine leucocidin. Whole-genome sequencing data were used to propose and confirm that MRSA carriage by a staff member had allowed the outbreak to persist during periods without known infection on the SCBU and after a deep clean. INTERPRETATION: Whole-genome sequencing holds great promise for rapid, accurate, and comprehensive identification of bacterial transmission pathways in hospital and community settings, with concomitant reductions in infections, morbidity, and costs. FUNDING: UK Clinical Research Collaboration Translational Infection Research Initiative, Wellcome Trust, Health Protection Agency, and the National Institute for Health Research Cambridge Biomedical Research Centre.", "author" : [ { "dropping-particle" : "", "family" : "Harris", "given" : "Simon R", "non-dropping-particle" : "", "parse-names" : false, "suffix" : "" }, { "dropping-particle" : "", "family" : "Cartwright", "given" : "Edward J P", "non-dropping-particle" : "", "parse-names" : false, "suffix" : "" }, { "dropping-particle" : "", "family" : "T\u00f6r\u00f6k", "given" : "M Est\u00e9e", "non-dropping-particle" : "", "parse-names" : false, "suffix" : "" }, { "dropping-particle" : "", "family" : "Holden", "given" : "Matthew T G", "non-dropping-particle" : "", "parse-names" : false, "suffix" : "" }, { "dropping-particle" : "", "family" : "Brown", "given" : "Nicholas M", "non-dropping-particle" : "", "parse-names" : false, "suffix" : "" }, { "dropping-particle" : "", "family" : "Ogilvy-Stuart", "given" : "Amanda L", "non-dropping-particle" : "", "parse-names" : false, "suffix" : "" }, { "dropping-particle" : "", "family" : "Ellington", "given" : "Matthew J", "non-dropping-particle" : "", "parse-names" : false, "suffix" : "" }, { "dropping-particle" : "", "family" : "Quail", "given" : "Michael a", "non-dropping-particle" : "", "parse-names" : false, "suffix" : "" }, { "dropping-particle" : "", "family" : "Bentley", "given" : "Stephen D", "non-dropping-particle" : "", "parse-names" : false, "suffix" : "" }, { "dropping-particle" : "", "family" : "Parkhill", "given" : "Julian", "non-dropping-particle" : "", "parse-names" : false, "suffix" : "" }, { "dropping-particle" : "", "family" : "Peacock", "given" : "Sharon J", "non-dropping-particle" : "", "parse-names" : false, "suffix" : "" } ], "container-title" : "Lancet Infectious Diseases", "id" : "ITEM-1", "issue" : "2", "issued" : { "date-parts" : [ [ "2013", "2" ] ] }, "page" : "130-6", "publisher" : "Elsevier Ltd", "title" : "Whole-genome sequencing for analysis of an outbreak of meticillin-resistant Staphylococcus aureus: a descriptive study.", "type" : "article-journal", "volume" : "13" }, "uris" : [ "http://www.mendeley.com/documents/?uuid=c949109b-f3eb-48c2-8f21-305648014b07" ] } ], "mendeley" : { "formattedCitation" : "&lt;sup&gt;45&lt;/sup&gt;", "plainTextFormattedCitation" : "45", "previouslyFormattedCitation" : "&lt;sup&gt;46&lt;/sup&gt;" }, "properties" : { "noteIndex" : 0 }, "schema" : "https://github.com/citation-style-language/schema/raw/master/csl-citation.json" }</w:instrText>
      </w:r>
      <w:r w:rsidR="003234D2" w:rsidRPr="003234D2">
        <w:rPr>
          <w:rFonts w:ascii="Arial" w:hAnsi="Arial" w:cs="Arial"/>
          <w:sz w:val="24"/>
          <w:szCs w:val="24"/>
          <w:highlight w:val="yellow"/>
          <w:lang w:val="en-US"/>
        </w:rPr>
        <w:fldChar w:fldCharType="separate"/>
      </w:r>
      <w:r w:rsidR="009E0BAE" w:rsidRPr="009E0BAE">
        <w:rPr>
          <w:rFonts w:ascii="Arial" w:hAnsi="Arial" w:cs="Arial"/>
          <w:noProof/>
          <w:sz w:val="24"/>
          <w:szCs w:val="24"/>
          <w:highlight w:val="yellow"/>
          <w:vertAlign w:val="superscript"/>
          <w:lang w:val="en-US"/>
        </w:rPr>
        <w:t>45</w:t>
      </w:r>
      <w:r w:rsidR="003234D2" w:rsidRPr="003234D2">
        <w:rPr>
          <w:rFonts w:ascii="Arial" w:hAnsi="Arial" w:cs="Arial"/>
          <w:sz w:val="24"/>
          <w:szCs w:val="24"/>
          <w:highlight w:val="yellow"/>
          <w:lang w:val="en-US"/>
        </w:rPr>
        <w:fldChar w:fldCharType="end"/>
      </w:r>
      <w:r w:rsidRPr="000767AE">
        <w:rPr>
          <w:rFonts w:ascii="Arial" w:hAnsi="Arial" w:cs="Arial"/>
          <w:sz w:val="24"/>
          <w:szCs w:val="24"/>
          <w:lang w:val="en-US"/>
        </w:rPr>
        <w:t xml:space="preserve"> What is missing, perhaps, is a better understanding of </w:t>
      </w:r>
      <w:r w:rsidR="005D5143" w:rsidRPr="000767AE">
        <w:rPr>
          <w:rFonts w:ascii="Arial" w:hAnsi="Arial" w:cs="Arial"/>
          <w:sz w:val="24"/>
          <w:szCs w:val="24"/>
          <w:lang w:val="en-US"/>
        </w:rPr>
        <w:t xml:space="preserve">how movement </w:t>
      </w:r>
      <w:r w:rsidR="00A4740E" w:rsidRPr="000767AE">
        <w:rPr>
          <w:rFonts w:ascii="Arial" w:hAnsi="Arial" w:cs="Arial"/>
          <w:sz w:val="24"/>
          <w:szCs w:val="24"/>
          <w:lang w:val="en-US"/>
        </w:rPr>
        <w:t xml:space="preserve">and flow </w:t>
      </w:r>
      <w:r w:rsidR="005D5143" w:rsidRPr="000767AE">
        <w:rPr>
          <w:rFonts w:ascii="Arial" w:hAnsi="Arial" w:cs="Arial"/>
          <w:sz w:val="24"/>
          <w:szCs w:val="24"/>
          <w:lang w:val="en-US"/>
        </w:rPr>
        <w:t>of patients</w:t>
      </w:r>
      <w:r w:rsidR="00427F57" w:rsidRPr="000767AE">
        <w:rPr>
          <w:rFonts w:ascii="Arial" w:hAnsi="Arial" w:cs="Arial"/>
          <w:sz w:val="24"/>
          <w:szCs w:val="24"/>
          <w:lang w:val="en-US"/>
        </w:rPr>
        <w:t>,</w:t>
      </w:r>
      <w:r w:rsidR="00FC5018" w:rsidRPr="000767AE">
        <w:rPr>
          <w:rFonts w:ascii="Arial" w:hAnsi="Arial" w:cs="Arial"/>
          <w:sz w:val="24"/>
          <w:szCs w:val="24"/>
          <w:lang w:val="en-US"/>
        </w:rPr>
        <w:t xml:space="preserve"> and the</w:t>
      </w:r>
      <w:r w:rsidRPr="000767AE">
        <w:rPr>
          <w:rFonts w:ascii="Arial" w:hAnsi="Arial" w:cs="Arial"/>
          <w:sz w:val="24"/>
          <w:szCs w:val="24"/>
          <w:lang w:val="en-US"/>
        </w:rPr>
        <w:t xml:space="preserve"> built environment</w:t>
      </w:r>
      <w:r w:rsidR="00427F57" w:rsidRPr="000767AE">
        <w:rPr>
          <w:rFonts w:ascii="Arial" w:hAnsi="Arial" w:cs="Arial"/>
          <w:sz w:val="24"/>
          <w:szCs w:val="24"/>
          <w:lang w:val="en-US"/>
        </w:rPr>
        <w:t>,</w:t>
      </w:r>
      <w:r w:rsidRPr="000767AE">
        <w:rPr>
          <w:rFonts w:ascii="Arial" w:hAnsi="Arial" w:cs="Arial"/>
          <w:sz w:val="24"/>
          <w:szCs w:val="24"/>
          <w:lang w:val="en-US"/>
        </w:rPr>
        <w:t xml:space="preserve"> </w:t>
      </w:r>
      <w:r w:rsidR="00676552" w:rsidRPr="000767AE">
        <w:rPr>
          <w:rFonts w:ascii="Arial" w:hAnsi="Arial" w:cs="Arial"/>
          <w:sz w:val="24"/>
          <w:szCs w:val="24"/>
          <w:lang w:val="en-US"/>
        </w:rPr>
        <w:t>affect</w:t>
      </w:r>
      <w:r w:rsidR="00857934" w:rsidRPr="000767AE">
        <w:rPr>
          <w:rFonts w:ascii="Arial" w:hAnsi="Arial" w:cs="Arial"/>
          <w:sz w:val="24"/>
          <w:szCs w:val="24"/>
          <w:lang w:val="en-US"/>
        </w:rPr>
        <w:t xml:space="preserve"> resistance transmission within</w:t>
      </w:r>
      <w:r w:rsidRPr="000767AE">
        <w:rPr>
          <w:rFonts w:ascii="Arial" w:hAnsi="Arial" w:cs="Arial"/>
          <w:sz w:val="24"/>
          <w:szCs w:val="24"/>
          <w:lang w:val="en-US"/>
        </w:rPr>
        <w:t>,</w:t>
      </w:r>
      <w:r w:rsidRPr="000767AE">
        <w:rPr>
          <w:rFonts w:asciiTheme="minorHAnsi" w:hAnsiTheme="minorHAnsi" w:cs="Arial"/>
          <w:sz w:val="24"/>
          <w:szCs w:val="24"/>
          <w:lang w:val="en-US"/>
        </w:rPr>
        <w:fldChar w:fldCharType="begin" w:fldLock="1"/>
      </w:r>
      <w:r w:rsidR="009E0BAE">
        <w:rPr>
          <w:rFonts w:asciiTheme="minorHAnsi" w:hAnsiTheme="minorHAnsi" w:cs="Arial"/>
          <w:sz w:val="24"/>
          <w:szCs w:val="24"/>
          <w:lang w:val="en-US"/>
        </w:rPr>
        <w:instrText>ADDIN CSL_CITATION { "citationItems" : [ { "id" : "ITEM-1", "itemData" : { "DOI" : "doi: 10.1016/j.jhin.2014.01.010.", "author" : [ { "dropping-particle" : "", "family" : "Davis", "given" : "GS", "non-dropping-particle" : "", "parse-names" : false, "suffix" : "" }, { "dropping-particle" : "", "family" : "Sevdalis", "given" : "N", "non-dropping-particle" : "", "parse-names" : false, "suffix" : "" }, { "dropping-particle" : "", "family" : "Drumright", "given" : "LN", "non-dropping-particle" : "", "parse-names" : false, "suffix" : "" } ], "container-title" : "Journal of Hospital Infection", "id" : "ITEM-1", "issue" : "4", "issued" : { "date-parts" : [ [ "2014" ] ] }, "page" : "227-243", "title" : "Spatial and temporal analyses to investigate infectious disease transmission within healthcare settings.", "type" : "article-journal", "volume" : "86" }, "uris" : [ "http://www.mendeley.com/documents/?uuid=b2302273-bfcc-45da-ae8a-ed47e98e5110" ] } ], "mendeley" : { "formattedCitation" : "&lt;sup&gt;46&lt;/sup&gt;", "plainTextFormattedCitation" : "46", "previouslyFormattedCitation" : "&lt;sup&gt;47&lt;/sup&gt;" }, "properties" : { "noteIndex" : 0 }, "schema" : "https://github.com/citation-style-language/schema/raw/master/csl-citation.json" }</w:instrText>
      </w:r>
      <w:r w:rsidRPr="000767AE">
        <w:rPr>
          <w:rFonts w:asciiTheme="minorHAnsi" w:hAnsiTheme="minorHAnsi" w:cs="Arial"/>
          <w:sz w:val="24"/>
          <w:szCs w:val="24"/>
          <w:lang w:val="en-US"/>
        </w:rPr>
        <w:fldChar w:fldCharType="separate"/>
      </w:r>
      <w:r w:rsidR="009E0BAE" w:rsidRPr="009E0BAE">
        <w:rPr>
          <w:rFonts w:asciiTheme="minorHAnsi" w:hAnsiTheme="minorHAnsi"/>
          <w:noProof/>
          <w:sz w:val="24"/>
          <w:szCs w:val="24"/>
          <w:vertAlign w:val="superscript"/>
          <w:lang w:eastAsia="en-GB"/>
        </w:rPr>
        <w:t>46</w:t>
      </w:r>
      <w:r w:rsidRPr="000767AE">
        <w:rPr>
          <w:rFonts w:asciiTheme="minorHAnsi" w:hAnsiTheme="minorHAnsi" w:cs="Arial"/>
          <w:sz w:val="24"/>
          <w:szCs w:val="24"/>
          <w:lang w:val="en-US"/>
        </w:rPr>
        <w:fldChar w:fldCharType="end"/>
      </w:r>
      <w:r w:rsidR="00857934" w:rsidRPr="000767AE">
        <w:rPr>
          <w:rFonts w:ascii="Arial" w:hAnsi="Arial" w:cs="Arial"/>
          <w:sz w:val="24"/>
          <w:szCs w:val="24"/>
          <w:lang w:val="en-US"/>
        </w:rPr>
        <w:t xml:space="preserve"> </w:t>
      </w:r>
      <w:r w:rsidRPr="000767AE">
        <w:rPr>
          <w:rFonts w:ascii="Arial" w:hAnsi="Arial" w:cs="Arial"/>
          <w:sz w:val="24"/>
          <w:szCs w:val="24"/>
          <w:lang w:val="en-US"/>
        </w:rPr>
        <w:t>and between,</w:t>
      </w:r>
      <w:r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"10.1371/journal.pone.0035002", "ISSN" : "1932-6203", "PMID" : "22558106", "abstract" : "Hospital-acquired infections (HAI) are often seen as preventable incidents that result from unsafe practices or poor hospital hygiene. This however ignores the fact that transmissibility is not only a property of the causative organisms but also of the hosts who can translocate bacteria when moving between hospitals. In an epidemiological sense, hospitals become connected through the patients they share. We here postulate that the degree of hospital connectedness crucially influences the rates of infections caused by hospital-acquired bacteria. To test this hypothesis, we mapped the movement of patients based on the UK-NHS Hospital Episode Statistics and observed that the proportion of patients admitted to a hospital after a recent episode in another hospital correlates with the hospital-specific incidence rate of MRSA bacteraemia as recorded by mandatory reporting. We observed a positive correlation between hospital connectedness and MRSA bacteraemia incidence rate that is significant for all financial years since 2001 except for 2008-09. All years combined, this correlation is positive and significantly different from zero (partial correlation coefficient r = 0.33 (0.28 to 0.38)). When comparing the referral pattern for English hospitals with referral patterns observed in the Netherlands, we predict that English hospitals more likely see a swifter and more sustained spread of HAIs. Our results indicate that hospitals cannot be viewed as individual units but rather should be viewed as connected elements of larger modular networks. Our findings stress the importance of cooperative effects that will have a bearing on the planning of health care systems, patient management and hospital infection control.", "author" : [ { "dropping-particle" : "", "family" : "Donker", "given" : "Tjibbe", "non-dropping-particle" : "", "parse-names" : false, "suffix" : "" }, { "dropping-particle" : "", "family" : "Wallinga", "given" : "Jacco", "non-dropping-particle" : "", "parse-names" : false, "suffix" : "" }, { "dropping-particle" : "", "family" : "Slack", "given" : "Richard", "non-dropping-particle" : "", "parse-names" : false, "suffix" : "" }, { "dropping-particle" : "", "family" : "Grundmann", "given" : "Hajo", "non-dropping-particle" : "", "parse-names" : false, "suffix" : "" } ], "container-title" : "PloS One", "id" : "ITEM-1", "issue" : "4", "issued" : { "date-parts" : [ [ "2012", "1" ] ] }, "page" : "e35002", "title" : "Hospital networks and the dispersal of hospital-acquired pathogens by patient transfer.", "type" : "article-journal", "volume" : "7" }, "uris" : [ "http://www.mendeley.com/documents/?uuid=027aede5-8e20-442c-9802-8e4058886084" ] } ], "mendeley" : { "formattedCitation" : "&lt;sup&gt;47&lt;/sup&gt;", "plainTextFormattedCitation" : "47", "previouslyFormattedCitation" : "&lt;sup&gt;48&lt;/sup&gt;" }, "properties" : { "noteIndex" : 0 }, "schema" : "https://github.com/citation-style-language/schema/raw/master/csl-citation.json" }</w:instrText>
      </w:r>
      <w:r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47</w:t>
      </w:r>
      <w:r w:rsidRPr="000767AE">
        <w:rPr>
          <w:rFonts w:ascii="Arial" w:hAnsi="Arial" w:cs="Arial"/>
          <w:sz w:val="24"/>
          <w:szCs w:val="24"/>
          <w:lang w:val="en-US"/>
        </w:rPr>
        <w:fldChar w:fldCharType="end"/>
      </w:r>
      <w:r w:rsidR="00676552" w:rsidRPr="000767AE">
        <w:rPr>
          <w:rFonts w:ascii="Arial" w:hAnsi="Arial" w:cs="Arial"/>
          <w:sz w:val="24"/>
          <w:szCs w:val="24"/>
          <w:lang w:val="en-US"/>
        </w:rPr>
        <w:t xml:space="preserve"> healthcare institut</w:t>
      </w:r>
      <w:r w:rsidR="00A207F8" w:rsidRPr="000767AE">
        <w:rPr>
          <w:rFonts w:ascii="Arial" w:hAnsi="Arial" w:cs="Arial"/>
          <w:sz w:val="24"/>
          <w:szCs w:val="24"/>
          <w:lang w:val="en-US"/>
        </w:rPr>
        <w:t>ions</w:t>
      </w:r>
      <w:r w:rsidR="00676552" w:rsidRPr="000767AE">
        <w:rPr>
          <w:rFonts w:ascii="Arial" w:hAnsi="Arial" w:cs="Arial"/>
          <w:sz w:val="24"/>
          <w:szCs w:val="24"/>
          <w:lang w:val="en-US"/>
        </w:rPr>
        <w:t>.</w:t>
      </w:r>
      <w:r w:rsidRPr="000767AE">
        <w:rPr>
          <w:rFonts w:ascii="Arial" w:hAnsi="Arial" w:cs="Arial"/>
          <w:sz w:val="24"/>
          <w:szCs w:val="24"/>
          <w:lang w:val="en-US"/>
        </w:rPr>
        <w:t xml:space="preserve"> </w:t>
      </w:r>
      <w:r w:rsidR="009F2CEC" w:rsidRPr="000767AE">
        <w:rPr>
          <w:rFonts w:ascii="Arial" w:hAnsi="Arial" w:cs="Arial"/>
          <w:sz w:val="24"/>
          <w:szCs w:val="24"/>
          <w:lang w:val="en-US"/>
        </w:rPr>
        <w:t>Moreover</w:t>
      </w:r>
      <w:r w:rsidR="005551C8" w:rsidRPr="000767AE">
        <w:rPr>
          <w:rFonts w:ascii="Arial" w:hAnsi="Arial" w:cs="Arial"/>
          <w:sz w:val="24"/>
          <w:szCs w:val="24"/>
          <w:lang w:val="en-US"/>
        </w:rPr>
        <w:t xml:space="preserve">, </w:t>
      </w:r>
      <w:r w:rsidR="009F2CEC" w:rsidRPr="000767AE">
        <w:rPr>
          <w:rFonts w:ascii="Arial" w:hAnsi="Arial" w:cs="Arial"/>
          <w:sz w:val="24"/>
          <w:szCs w:val="24"/>
          <w:lang w:val="en-US"/>
        </w:rPr>
        <w:t xml:space="preserve">the </w:t>
      </w:r>
      <w:r w:rsidR="00D606AD" w:rsidRPr="000767AE">
        <w:rPr>
          <w:rFonts w:ascii="Arial" w:hAnsi="Arial" w:cs="Arial"/>
          <w:sz w:val="24"/>
          <w:szCs w:val="24"/>
          <w:lang w:val="en-US"/>
        </w:rPr>
        <w:t xml:space="preserve">inability to </w:t>
      </w:r>
      <w:r w:rsidR="009F2CEC" w:rsidRPr="000767AE">
        <w:rPr>
          <w:rFonts w:ascii="Arial" w:hAnsi="Arial" w:cs="Arial"/>
          <w:sz w:val="24"/>
          <w:szCs w:val="24"/>
          <w:lang w:val="en-US"/>
        </w:rPr>
        <w:t>rapid</w:t>
      </w:r>
      <w:r w:rsidR="00D606AD" w:rsidRPr="000767AE">
        <w:rPr>
          <w:rFonts w:ascii="Arial" w:hAnsi="Arial" w:cs="Arial"/>
          <w:sz w:val="24"/>
          <w:szCs w:val="24"/>
          <w:lang w:val="en-US"/>
        </w:rPr>
        <w:t>ly</w:t>
      </w:r>
      <w:r w:rsidR="009F2CEC" w:rsidRPr="000767AE">
        <w:rPr>
          <w:rFonts w:ascii="Arial" w:hAnsi="Arial" w:cs="Arial"/>
          <w:sz w:val="24"/>
          <w:szCs w:val="24"/>
          <w:lang w:val="en-US"/>
        </w:rPr>
        <w:t xml:space="preserve"> </w:t>
      </w:r>
      <w:r w:rsidR="00D606AD" w:rsidRPr="000767AE">
        <w:rPr>
          <w:rFonts w:ascii="Arial" w:hAnsi="Arial" w:cs="Arial"/>
          <w:sz w:val="24"/>
          <w:szCs w:val="24"/>
          <w:lang w:val="en-US"/>
        </w:rPr>
        <w:t xml:space="preserve">identify </w:t>
      </w:r>
      <w:r w:rsidR="009F2CEC" w:rsidRPr="000767AE">
        <w:rPr>
          <w:rFonts w:ascii="Arial" w:hAnsi="Arial" w:cs="Arial"/>
          <w:sz w:val="24"/>
          <w:szCs w:val="24"/>
          <w:lang w:val="en-US"/>
        </w:rPr>
        <w:t>resistant micro-organisms</w:t>
      </w:r>
      <w:r w:rsidR="00D606AD" w:rsidRPr="000767AE">
        <w:rPr>
          <w:rFonts w:ascii="Arial" w:hAnsi="Arial" w:cs="Arial"/>
          <w:sz w:val="24"/>
          <w:szCs w:val="24"/>
          <w:lang w:val="en-US"/>
        </w:rPr>
        <w:t xml:space="preserve"> with appropriate and efficient diagnostic tests</w:t>
      </w:r>
      <w:r w:rsidR="009F2CEC" w:rsidRPr="000767AE">
        <w:rPr>
          <w:rFonts w:ascii="Arial" w:hAnsi="Arial" w:cs="Arial"/>
          <w:sz w:val="24"/>
          <w:szCs w:val="24"/>
          <w:lang w:val="en-US"/>
        </w:rPr>
        <w:t xml:space="preserve"> is likely to further</w:t>
      </w:r>
      <w:r w:rsidR="005551C8" w:rsidRPr="000767AE">
        <w:rPr>
          <w:rFonts w:ascii="Arial" w:hAnsi="Arial" w:cs="Arial"/>
          <w:sz w:val="24"/>
          <w:szCs w:val="24"/>
          <w:lang w:val="en-US"/>
        </w:rPr>
        <w:t xml:space="preserve"> contribut</w:t>
      </w:r>
      <w:r w:rsidR="00A207F8" w:rsidRPr="000767AE">
        <w:rPr>
          <w:rFonts w:ascii="Arial" w:hAnsi="Arial" w:cs="Arial"/>
          <w:sz w:val="24"/>
          <w:szCs w:val="24"/>
          <w:lang w:val="en-US"/>
        </w:rPr>
        <w:t>e</w:t>
      </w:r>
      <w:r w:rsidR="005551C8" w:rsidRPr="000767AE">
        <w:rPr>
          <w:rFonts w:ascii="Arial" w:hAnsi="Arial" w:cs="Arial"/>
          <w:sz w:val="24"/>
          <w:szCs w:val="24"/>
          <w:lang w:val="en-US"/>
        </w:rPr>
        <w:t xml:space="preserve"> to </w:t>
      </w:r>
      <w:r w:rsidR="009F2CEC" w:rsidRPr="000767AE">
        <w:rPr>
          <w:rFonts w:ascii="Arial" w:hAnsi="Arial" w:cs="Arial"/>
          <w:sz w:val="24"/>
          <w:szCs w:val="24"/>
          <w:lang w:val="en-US"/>
        </w:rPr>
        <w:t>ongoing transmission in healthcare settings.</w:t>
      </w:r>
    </w:p>
    <w:p w14:paraId="58C4F62F" w14:textId="77777777" w:rsidR="00A053CE" w:rsidRPr="000767AE" w:rsidRDefault="00A053CE" w:rsidP="00A053CE">
      <w:pPr>
        <w:pStyle w:val="ListParagraph"/>
        <w:autoSpaceDE w:val="0"/>
        <w:autoSpaceDN w:val="0"/>
        <w:adjustRightInd w:val="0"/>
        <w:spacing w:after="0" w:line="240" w:lineRule="auto"/>
        <w:ind w:left="0"/>
        <w:rPr>
          <w:rFonts w:ascii="Arial" w:hAnsi="Arial" w:cs="Arial"/>
          <w:sz w:val="24"/>
          <w:szCs w:val="24"/>
          <w:lang w:val="en-US"/>
        </w:rPr>
      </w:pPr>
    </w:p>
    <w:p w14:paraId="17253D39" w14:textId="323FABE8" w:rsidR="00A053CE" w:rsidRPr="000767AE" w:rsidRDefault="00A053CE" w:rsidP="00A053CE">
      <w:pPr>
        <w:pStyle w:val="ListParagraph"/>
        <w:autoSpaceDE w:val="0"/>
        <w:autoSpaceDN w:val="0"/>
        <w:adjustRightInd w:val="0"/>
        <w:spacing w:after="0" w:line="240" w:lineRule="auto"/>
        <w:ind w:left="0"/>
        <w:rPr>
          <w:rFonts w:ascii="Arial" w:hAnsi="Arial" w:cs="Arial"/>
          <w:sz w:val="24"/>
          <w:szCs w:val="24"/>
          <w:lang w:val="en-US"/>
        </w:rPr>
      </w:pPr>
      <w:r w:rsidRPr="000767AE">
        <w:rPr>
          <w:rFonts w:ascii="Arial" w:hAnsi="Arial" w:cs="Arial"/>
          <w:sz w:val="24"/>
          <w:szCs w:val="24"/>
          <w:lang w:val="en-US"/>
        </w:rPr>
        <w:t xml:space="preserve">During the last ten years the human microbiota has acquired </w:t>
      </w:r>
      <w:r w:rsidR="00427F57" w:rsidRPr="000767AE">
        <w:rPr>
          <w:rFonts w:ascii="Arial" w:hAnsi="Arial" w:cs="Arial"/>
          <w:sz w:val="24"/>
          <w:szCs w:val="24"/>
          <w:lang w:val="en-US"/>
        </w:rPr>
        <w:t>AMR</w:t>
      </w:r>
      <w:r w:rsidRPr="000767AE">
        <w:rPr>
          <w:rFonts w:ascii="Arial" w:hAnsi="Arial" w:cs="Arial"/>
          <w:sz w:val="24"/>
          <w:szCs w:val="24"/>
          <w:lang w:val="en-US"/>
        </w:rPr>
        <w:t xml:space="preserve"> Enterobacteriaceae on an unprecedented scale. In some parts of the world the carrier rate of ES</w:t>
      </w:r>
      <w:r w:rsidR="003C0F15" w:rsidRPr="000767AE">
        <w:rPr>
          <w:rFonts w:ascii="Arial" w:hAnsi="Arial" w:cs="Arial"/>
          <w:sz w:val="24"/>
          <w:szCs w:val="24"/>
        </w:rPr>
        <w:t>β</w:t>
      </w:r>
      <w:r w:rsidRPr="000767AE">
        <w:rPr>
          <w:rFonts w:ascii="Arial" w:hAnsi="Arial" w:cs="Arial"/>
          <w:sz w:val="24"/>
          <w:szCs w:val="24"/>
          <w:lang w:val="en-US"/>
        </w:rPr>
        <w:t>L-positive Enterobacteriaceae in the gut is over 50%,</w:t>
      </w:r>
      <w:r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"10.1128/CMR.00023-13", "ISSN" : "1098-6618", "PMID" : "24092853", "abstract" : "SUMMARY In the last 10 years, extended-spectrum \u03b2-lactamase-producing enterobacteria (ESBL-E) have become one of the main challenges for antibiotic treatment of enterobacterial infections, largely because of the current CTX-M enzyme pandemic. However, most studies have focused on hospitalized patients, though today it appears that the community is strongly affected as well. We therefore decided to devote our investigation to trends in ESBL-E fecal carriage rates and comprehensively reviewed data from studies conducted on healthy populations in various parts of the world. We show that (i) community ESBL-E fecal carriage, which was unknown before the turn of the millennium, has since increased significantly everywhere, with developing countries being the most affected; (ii) intercontinental travel may have emphasized and globalized the issue; and (iii) CTX-M enzymes, especially CTX-M-15, are the dominant type of ESBL. Altogether, these results suggest that CTX-M carriage is evolving toward a global pandemic but is still insufficiently described. Only a better knowledge of its dynamics and biology will lead to further development of appropriate control measures.", "author" : [ { "dropping-particle" : "", "family" : "Woerther", "given" : "Paul-Louis", "non-dropping-particle" : "", "parse-names" : false, "suffix" : "" }, { "dropping-particle" : "", "family" : "Burdet", "given" : "Charles", "non-dropping-particle" : "", "parse-names" : false, "suffix" : "" }, { "dropping-particle" : "", "family" : "Chachaty", "given" : "Elisabeth", "non-dropping-particle" : "", "parse-names" : false, "suffix" : "" }, { "dropping-particle" : "", "family" : "Andremont", "given" : "Antoine", "non-dropping-particle" : "", "parse-names" : false, "suffix" : "" } ], "container-title" : "Clinical microbiology reviews", "id" : "ITEM-1", "issue" : "4", "issued" : { "date-parts" : [ [ "2013", "10" ] ] }, "page" : "744-58", "title" : "Trends in Human Fecal Carriage of Extended-Spectrum \u03b2-Lactamases in the Community: Toward the Globalization of CTX-M.", "type" : "article-journal", "volume" : "26" }, "uris" : [ "http://www.mendeley.com/documents/?uuid=e76a00bd-9c95-4a7a-b55b-decad03e6301" ] } ], "mendeley" : { "formattedCitation" : "&lt;sup&gt;48&lt;/sup&gt;", "plainTextFormattedCitation" : "48", "previouslyFormattedCitation" : "&lt;sup&gt;49&lt;/sup&gt;" }, "properties" : { "noteIndex" : 0 }, "schema" : "https://github.com/citation-style-language/schema/raw/master/csl-citation.json" }</w:instrText>
      </w:r>
      <w:r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48</w:t>
      </w:r>
      <w:r w:rsidRPr="000767AE">
        <w:rPr>
          <w:rFonts w:ascii="Arial" w:hAnsi="Arial" w:cs="Arial"/>
          <w:sz w:val="24"/>
          <w:szCs w:val="24"/>
          <w:lang w:val="en-US"/>
        </w:rPr>
        <w:fldChar w:fldCharType="end"/>
      </w:r>
      <w:r w:rsidRPr="000767AE">
        <w:rPr>
          <w:rFonts w:ascii="Arial" w:hAnsi="Arial" w:cs="Arial"/>
          <w:sz w:val="24"/>
          <w:szCs w:val="24"/>
          <w:lang w:val="en-US"/>
        </w:rPr>
        <w:t xml:space="preserve"> and travel has been clearly associated with increased risk of gut colonisation with these organisms. In a prospective study from the Netherlands</w:t>
      </w:r>
      <w:r w:rsidR="00A207F8" w:rsidRPr="000767AE">
        <w:rPr>
          <w:rFonts w:ascii="Arial" w:hAnsi="Arial" w:cs="Arial"/>
          <w:sz w:val="24"/>
          <w:szCs w:val="24"/>
          <w:lang w:val="en-US"/>
        </w:rPr>
        <w:t>,</w:t>
      </w:r>
      <w:r w:rsidRPr="000767AE">
        <w:rPr>
          <w:rFonts w:ascii="Arial" w:hAnsi="Arial" w:cs="Arial"/>
          <w:sz w:val="24"/>
          <w:szCs w:val="24"/>
          <w:lang w:val="en-US"/>
        </w:rPr>
        <w:t xml:space="preserve"> 8·6% of travelers were colonised with ES</w:t>
      </w:r>
      <w:r w:rsidR="003C0F15" w:rsidRPr="000767AE">
        <w:rPr>
          <w:rFonts w:ascii="Arial" w:hAnsi="Arial" w:cs="Arial"/>
          <w:sz w:val="24"/>
          <w:szCs w:val="24"/>
        </w:rPr>
        <w:t>β</w:t>
      </w:r>
      <w:r w:rsidRPr="000767AE">
        <w:rPr>
          <w:rFonts w:ascii="Arial" w:hAnsi="Arial" w:cs="Arial"/>
          <w:sz w:val="24"/>
          <w:szCs w:val="24"/>
          <w:lang w:val="en-US"/>
        </w:rPr>
        <w:t xml:space="preserve">L-producing Enterobacteriaceae before travel, but 30·5% acquired gut </w:t>
      </w:r>
      <w:r w:rsidR="00F807BE" w:rsidRPr="000767AE">
        <w:rPr>
          <w:rFonts w:ascii="Arial" w:hAnsi="Arial" w:cs="Arial"/>
          <w:sz w:val="24"/>
          <w:szCs w:val="24"/>
          <w:lang w:val="en-US"/>
        </w:rPr>
        <w:t xml:space="preserve">colonization </w:t>
      </w:r>
      <w:r w:rsidRPr="000767AE">
        <w:rPr>
          <w:rFonts w:ascii="Arial" w:hAnsi="Arial" w:cs="Arial"/>
          <w:sz w:val="24"/>
          <w:szCs w:val="24"/>
          <w:lang w:val="en-US"/>
        </w:rPr>
        <w:t>during travel</w:t>
      </w:r>
      <w:r w:rsidR="00F807BE" w:rsidRPr="000767AE">
        <w:rPr>
          <w:rFonts w:ascii="Arial" w:hAnsi="Arial" w:cs="Arial"/>
          <w:sz w:val="24"/>
          <w:szCs w:val="24"/>
          <w:lang w:val="en-US"/>
        </w:rPr>
        <w:t>,</w:t>
      </w:r>
      <w:r w:rsidRPr="000767AE">
        <w:rPr>
          <w:rFonts w:ascii="Arial" w:hAnsi="Arial" w:cs="Arial"/>
          <w:sz w:val="24"/>
          <w:szCs w:val="24"/>
          <w:lang w:val="en-US"/>
        </w:rPr>
        <w:t xml:space="preserve"> with independent risk factors being travel to South and East Asia.</w:t>
      </w:r>
      <w:r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"author" : [ { "dropping-particle" : "", "family" : "Paltansing", "given" : "Sunita", "non-dropping-particle" : "", "parse-names" : false, "suffix" : "" }, { "dropping-particle" : "", "family" : "Vlot", "given" : "Jessica A", "non-dropping-particle" : "", "parse-names" : false, "suffix" : "" }, { "dropping-particle" : "", "family" : "Kraakman", "given" : "Margriet E M", "non-dropping-particle" : "", "parse-names" : false, "suffix" : "" }, { "dropping-particle" : "", "family" : "Mesman", "given" : "Romy", "non-dropping-particle" : "", "parse-names" : false, "suffix" : "" }, { "dropping-particle" : "", "family" : "Bruijning", "given" : "Marguerite L", "non-dropping-particle" : "", "parse-names" : false, "suffix" : "" }, { "dropping-particle" : "", "family" : "Bernards", "given" : "Alexandra T", "non-dropping-particle" : "", "parse-names" : false, "suffix" : "" }, { "dropping-particle" : "", "family" : "Visser", "given" : "Leo G", "non-dropping-particle" : "", "parse-names" : false, "suffix" : "" }, { "dropping-particle" : "", "family" : "Veldkamp", "given" : "Karin Ellen", "non-dropping-particle" : "", "parse-names" : false, "suffix" : "" } ], "container-title" : "Emerging Infectious Diseases", "id" : "ITEM-1", "issue" : "8", "issued" : { "date-parts" : [ [ "2014" ] ] }, "page" : "1206-13", "title" : "Extended-Spectrum Enterobacteriaceae among Travelers from the Netherlands", "type" : "article-journal", "volume" : "19" }, "uris" : [ "http://www.mendeley.com/documents/?uuid=f44d8a2c-b042-4f0e-9e60-aaccea491baa" ] } ], "mendeley" : { "formattedCitation" : "&lt;sup&gt;49&lt;/sup&gt;", "plainTextFormattedCitation" : "49", "previouslyFormattedCitation" : "&lt;sup&gt;50&lt;/sup&gt;" }, "properties" : { "noteIndex" : 0 }, "schema" : "https://github.com/citation-style-language/schema/raw/master/csl-citation.json" }</w:instrText>
      </w:r>
      <w:r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49</w:t>
      </w:r>
      <w:r w:rsidRPr="000767AE">
        <w:rPr>
          <w:rFonts w:ascii="Arial" w:hAnsi="Arial" w:cs="Arial"/>
          <w:sz w:val="24"/>
          <w:szCs w:val="24"/>
          <w:lang w:val="en-US"/>
        </w:rPr>
        <w:fldChar w:fldCharType="end"/>
      </w:r>
      <w:r w:rsidRPr="000767AE">
        <w:rPr>
          <w:rFonts w:ascii="Arial" w:hAnsi="Arial" w:cs="Arial"/>
          <w:sz w:val="24"/>
          <w:szCs w:val="24"/>
          <w:vertAlign w:val="superscript"/>
          <w:lang w:val="en-US"/>
        </w:rPr>
        <w:t xml:space="preserve"> </w:t>
      </w:r>
      <w:r w:rsidRPr="000767AE">
        <w:rPr>
          <w:rFonts w:ascii="Arial" w:hAnsi="Arial" w:cs="Arial"/>
          <w:sz w:val="24"/>
          <w:szCs w:val="24"/>
          <w:lang w:val="en-US"/>
        </w:rPr>
        <w:t>More recently, and perhaps more worryingly, is the spread of carbapenem resistance mechanisms across the globe, and between organisms, with NDM</w:t>
      </w:r>
      <w:r w:rsidR="003234D2" w:rsidRPr="003234D2">
        <w:rPr>
          <w:rFonts w:ascii="Arial" w:hAnsi="Arial" w:cs="Arial"/>
          <w:sz w:val="24"/>
          <w:szCs w:val="24"/>
          <w:highlight w:val="yellow"/>
          <w:lang w:val="en-US"/>
        </w:rPr>
        <w:t>,</w:t>
      </w:r>
      <w:r w:rsidR="003234D2" w:rsidRPr="003234D2">
        <w:rPr>
          <w:rFonts w:ascii="Arial" w:hAnsi="Arial" w:cs="Arial"/>
          <w:sz w:val="24"/>
          <w:szCs w:val="24"/>
          <w:highlight w:val="yellow"/>
          <w:lang w:val="en-US"/>
        </w:rPr>
        <w:fldChar w:fldCharType="begin" w:fldLock="1"/>
      </w:r>
      <w:r w:rsidR="003234D2">
        <w:rPr>
          <w:rFonts w:ascii="Arial" w:hAnsi="Arial" w:cs="Arial"/>
          <w:sz w:val="24"/>
          <w:szCs w:val="24"/>
          <w:highlight w:val="yellow"/>
          <w:lang w:val="en-US"/>
        </w:rPr>
        <w:instrText>ADDIN CSL_CITATION { "citationItems" : [ { "id" : "ITEM-1", "itemData" : { "DOI" : "10.1016/S1473-3099(11)70059-7", "ISSN" : "1474-4457", "PMID" : "21478057", "abstract" : "BACKGROUND: Not all patients infected with NDM-1-positive bacteria have a history of hospital admission in India, and extended-spectrum \u03b2-lactamases are known to be circulating in the Indian community. We therefore measured the prevalence of the NDM-1 gene in drinking water and seepage samples in New Delhi. METHODS: Swabs absorbing about 100 \u03bcL of seepage water (ie, water pools in streets or rivulets) and 15 mL samples of public tap water were collected from sites within a 12 km radius of central New Delhi, with each site photographed and documented. Samples were transported to the UK and tested for the presence of the NDM-1 gene, bla(NDM-1), by PCR and DNA probing. As a control group, 100 \u03bcL sewage effluent samples were taken from the Cardiff Wastewater Treatment Works, Tremorfa, Wales. Bacteria from all samples were recovered and examined for bla(NDM-1) by PCR and sequencing. We identified NDM-1-positive isolates, undertook susceptibility testing, and, where appropriate, typed the isolates. We undertook Inc typing on bla(NDM-1)-positive plasmids. Transconjugants were created to assess plasmid transfer frequency and its relation to temperature. FINDINGS: From Sept 26 to Oct 10, 2010, 171 seepage samples and 50 tap water samples from New Delhi and 70 sewage effluent samples from Cardiff Wastewater Treatment Works were collected. We detected bla(NDM-1) in two of 50 drinking-water samples and 51 of 171 seepage samples from New Delhi; the gene was not found in any sample from Cardiff. Bacteria with bla(NDM-1) were grown from 12 of 171 seepage samples and two of 50 water samples, and included 11 species in which NDM-1 has not previously been reported, including Shigella boydii and Vibrio cholerae. Carriage by enterobacteria, aeromonads, and V cholera was stable, generally transmissible, and associated with resistance patterns typical for NDM-1; carriage by non-fermenters was unstable in many cases and not associated with typical resistance. 20 strains of bacteria were found in the samples, 12 of which carried bla(NDM-1) on plasmids, which ranged in size from 140 to 400 kb. Isolates of Aeromonas caviae and V cholerae carried bla(NDM-1) on chromosomes. Conjugative transfer was more common at 30\u00b0C than at 25\u00b0C or 37\u00b0C. INTERPRETATION: The presence of NDM-1 \u03b2-lactamase-producing bacteria in environmental samples in New Delhi has important implications for people living in the city who are reliant on public water and sanitation facilities. International surveill\u2026", "author" : [ { "dropping-particle" : "", "family" : "Walsh", "given" : "Timothy R", "non-dropping-particle" : "", "parse-names" : false, "suffix" : "" }, { "dropping-particle" : "", "family" : "Weeks", "given" : "Janis", "non-dropping-particle" : "", "parse-names" : false, "suffix" : "" }, { "dropping-particle" : "", "family" : "Livermore", "given" : "David M", "non-dropping-particle" : "", "parse-names" : false, "suffix" : "" }, { "dropping-particle" : "", "family" : "Toleman", "given" : "Mark A", "non-dropping-particle" : "", "parse-names" : false, "suffix" : "" } ], "container-title" : "Lancet Infectious Diseases", "id" : "ITEM-1", "issue" : "5", "issued" : { "date-parts" : [ [ "2011", "5" ] ] }, "page" : "355-62", "publisher" : "Elsevier Ltd", "title" : "Dissemination of NDM-1 positive bacteria in the New Delhi environment and its implications for human health: an environmental point prevalence study.", "type" : "article-journal", "volume" : "11" }, "uris" : [ "http://www.mendeley.com/documents/?uuid=f61619f4-a439-46ef-bb5d-494f1efb9f7a" ] } ], "mendeley" : { "formattedCitation" : "&lt;sup&gt;15&lt;/sup&gt;", "plainTextFormattedCitation" : "15", "previouslyFormattedCitation" : "&lt;sup&gt;15&lt;/sup&gt;" }, "properties" : { "noteIndex" : 0 }, "schema" : "https://github.com/citation-style-language/schema/raw/master/csl-citation.json" }</w:instrText>
      </w:r>
      <w:r w:rsidR="003234D2" w:rsidRPr="003234D2">
        <w:rPr>
          <w:rFonts w:ascii="Arial" w:hAnsi="Arial" w:cs="Arial"/>
          <w:sz w:val="24"/>
          <w:szCs w:val="24"/>
          <w:highlight w:val="yellow"/>
          <w:lang w:val="en-US"/>
        </w:rPr>
        <w:fldChar w:fldCharType="separate"/>
      </w:r>
      <w:r w:rsidR="003234D2" w:rsidRPr="003234D2">
        <w:rPr>
          <w:rFonts w:ascii="Arial" w:hAnsi="Arial" w:cs="Arial"/>
          <w:noProof/>
          <w:sz w:val="24"/>
          <w:szCs w:val="24"/>
          <w:highlight w:val="yellow"/>
          <w:vertAlign w:val="superscript"/>
          <w:lang w:val="en-US"/>
        </w:rPr>
        <w:t>15</w:t>
      </w:r>
      <w:r w:rsidR="003234D2" w:rsidRPr="003234D2">
        <w:rPr>
          <w:rFonts w:ascii="Arial" w:hAnsi="Arial" w:cs="Arial"/>
          <w:sz w:val="24"/>
          <w:szCs w:val="24"/>
          <w:highlight w:val="yellow"/>
          <w:lang w:val="en-US"/>
        </w:rPr>
        <w:fldChar w:fldCharType="end"/>
      </w:r>
      <w:r w:rsidRPr="000767AE">
        <w:rPr>
          <w:rFonts w:ascii="Arial" w:hAnsi="Arial" w:cs="Arial"/>
          <w:sz w:val="24"/>
          <w:szCs w:val="24"/>
          <w:lang w:val="en-US"/>
        </w:rPr>
        <w:t xml:space="preserve"> KPC</w:t>
      </w:r>
      <w:r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"10.1016/S1473-3099(13)70190-7", "ISSN" : "1474-4457", "PMID" : "23969216", "abstract" : "Klebsiella pneumoniae carbapenemases (KPCs) were originally identified in the USA in 1996. Since then, these versatile \u03b2-lactamases have spread internationally among Gram-negative bacteria, especially K pneumoniae, although their precise epidemiology is diverse across countries and regions. The mortality described among patients infected with organisms positive for KPC is high, perhaps as a result of the limited antibiotic options remaining (often colistin, tigecycline, or aminoglycosides). Triple drug combinations using colistin, tigecycline, and imipenem have recently been associated with improved survival among patients with bacteraemia. In this Review, we summarise the epidemiology of KPCs across continents, and discuss issues around detection, present antibiotic options and those in development, treatment outcome and mortality, and infection control. In view of the limitations of present treatments and the paucity of new drugs in the pipeline, infection control must be our primary defence for now.", "author" : [ { "dropping-particle" : "", "family" : "Munoz-Price", "given" : "L Silvia", "non-dropping-particle" : "", "parse-names" : false, "suffix" : "" }, { "dropping-particle" : "", "family" : "Poirel", "given" : "Laurent", "non-dropping-particle" : "", "parse-names" : false, "suffix" : "" }, { "dropping-particle" : "", "family" : "Bonomo", "given" : "Robert A", "non-dropping-particle" : "", "parse-names" : false, "suffix" : "" }, { "dropping-particle" : "", "family" : "Schwaber", "given" : "Mitchell J", "non-dropping-particle" : "", "parse-names" : false, "suffix" : "" }, { "dropping-particle" : "", "family" : "Daikos", "given" : "George L", "non-dropping-particle" : "", "parse-names" : false, "suffix" : "" }, { "dropping-particle" : "", "family" : "Cormican", "given" : "Martin", "non-dropping-particle" : "", "parse-names" : false, "suffix" : "" }, { "dropping-particle" : "", "family" : "Cornaglia", "given" : "Giuseppe", "non-dropping-particle" : "", "parse-names" : false, "suffix" : "" }, { "dropping-particle" : "", "family" : "Garau", "given" : "Javier", "non-dropping-particle" : "", "parse-names" : false, "suffix" : "" }, { "dropping-particle" : "", "family" : "Gniadkowski", "given" : "Marek", "non-dropping-particle" : "", "parse-names" : false, "suffix" : "" }, { "dropping-particle" : "", "family" : "Hayden", "given" : "Mary K", "non-dropping-particle" : "", "parse-names" : false, "suffix" : "" }, { "dropping-particle" : "", "family" : "Kumarasamy", "given" : "Karthikeyan", "non-dropping-particle" : "", "parse-names" : false, "suffix" : "" }, { "dropping-particle" : "", "family" : "Livermore", "given" : "David M", "non-dropping-particle" : "", "parse-names" : false, "suffix" : "" }, { "dropping-particle" : "", "family" : "Maya", "given" : "Juan J", "non-dropping-particle" : "", "parse-names" : false, "suffix" : "" }, { "dropping-particle" : "", "family" : "Nordmann", "given" : "Patrice", "non-dropping-particle" : "", "parse-names" : false, "suffix" : "" }, { "dropping-particle" : "", "family" : "Patel", "given" : "Jean B", "non-dropping-particle" : "", "parse-names" : false, "suffix" : "" }, { "dropping-particle" : "", "family" : "Paterson", "given" : "David L", "non-dropping-particle" : "", "parse-names" : false, "suffix" : "" }, { "dropping-particle" : "", "family" : "Pitout", "given" : "Johann", "non-dropping-particle" : "", "parse-names" : false, "suffix" : "" }, { "dropping-particle" : "", "family" : "Villegas", "given" : "Maria Virginia", "non-dropping-particle" : "", "parse-names" : false, "suffix" : "" }, { "dropping-particle" : "", "family" : "Wang", "given" : "Hui", "non-dropping-particle" : "", "parse-names" : false, "suffix" : "" }, { "dropping-particle" : "", "family" : "Woodford", "given" : "Neil", "non-dropping-particle" : "", "parse-names" : false, "suffix" : "" }, { "dropping-particle" : "", "family" : "Quinn", "given" : "John P", "non-dropping-particle" : "", "parse-names" : false, "suffix" : "" } ], "container-title" : "Lancet Infectious Diseases", "id" : "ITEM-1", "issue" : "9", "issued" : { "date-parts" : [ [ "2013", "9" ] ] }, "page" : "785-96", "publisher" : "Elsevier Ltd", "title" : "Clinical epidemiology of the global expansion of Klebsiella pneumoniae carbapenemases.", "type" : "article-journal", "volume" : "13" }, "uris" : [ "http://www.mendeley.com/documents/?uuid=dc69f261-9495-49ad-ae11-e2f504d47946" ] } ], "mendeley" : { "formattedCitation" : "&lt;sup&gt;50&lt;/sup&gt;", "plainTextFormattedCitation" : "50", "previouslyFormattedCitation" : "&lt;sup&gt;51&lt;/sup&gt;" }, "properties" : { "noteIndex" : 0 }, "schema" : "https://github.com/citation-style-language/schema/raw/master/csl-citation.json" }</w:instrText>
      </w:r>
      <w:r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50</w:t>
      </w:r>
      <w:r w:rsidRPr="000767AE">
        <w:rPr>
          <w:rFonts w:ascii="Arial" w:hAnsi="Arial" w:cs="Arial"/>
          <w:sz w:val="24"/>
          <w:szCs w:val="24"/>
          <w:lang w:val="en-US"/>
        </w:rPr>
        <w:fldChar w:fldCharType="end"/>
      </w:r>
      <w:r w:rsidRPr="000767AE">
        <w:rPr>
          <w:rFonts w:ascii="Arial" w:hAnsi="Arial" w:cs="Arial"/>
          <w:sz w:val="24"/>
          <w:szCs w:val="24"/>
          <w:lang w:val="en-US"/>
        </w:rPr>
        <w:t xml:space="preserve"> and OXA-48</w:t>
      </w:r>
      <w:r w:rsidR="00130A1F"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"10.1016/j.ijantimicag.2013.08.020", "ISSN" : "09248579", "author" : [ { "dropping-particle" : "", "family" : "Thomas", "given" : "Claire P.", "non-dropping-particle" : "", "parse-names" : false, "suffix" : "" }, { "dropping-particle" : "", "family" : "Moore", "given" : "Luke S.P.", "non-dropping-particle" : "", "parse-names" : false, "suffix" : "" }, { "dropping-particle" : "", "family" : "Elamin", "given" : "Nazik", "non-dropping-particle" : "", "parse-names" : false, "suffix" : "" }, { "dropping-particle" : "", "family" : "Doumith", "given" : "Michel", "non-dropping-particle" : "", "parse-names" : false, "suffix" : "" }, { "dropping-particle" : "", "family" : "Zhang", "given" : "Jiancheng", "non-dropping-particle" : "", "parse-names" : false, "suffix" : "" }, { "dropping-particle" : "", "family" : "Maharjan", "given" : "Sunil", "non-dropping-particle" : "", "parse-names" : false, "suffix" : "" }, { "dropping-particle" : "", "family" : "Warner", "given" : "Marina", "non-dropping-particle" : "", "parse-names" : false, "suffix" : "" }, { "dropping-particle" : "", "family" : "Perry", "given" : "Claire", "non-dropping-particle" : "", "parse-names" : false, "suffix" : "" }, { "dropping-particle" : "", "family" : "Turton", "given" : "Jane F.", "non-dropping-particle" : "", "parse-names" : false, "suffix" : "" }, { "dropping-particle" : "", "family" : "Johnstone", "given" : "Clare", "non-dropping-particle" : "", "parse-names" : false, "suffix" : "" }, { "dropping-particle" : "", "family" : "Jepson", "given" : "Annette", "non-dropping-particle" : "", "parse-names" : false, "suffix" : "" }, { "dropping-particle" : "", "family" : "Duncan", "given" : "Neill D.C.", "non-dropping-particle" : "", "parse-names" : false, "suffix" : "" }, { "dropping-particle" : "", "family" : "Holmes", "given" : "Alison H.", "non-dropping-particle" : "", "parse-names" : false, "suffix" : "" }, { "dropping-particle" : "", "family" : "Livermore", "given" : "David M.", "non-dropping-particle" : "", "parse-names" : false, "suffix" : "" }, { "dropping-particle" : "", "family" : "Woodford", "given" : "Neil", "non-dropping-particle" : "", "parse-names" : false, "suffix" : "" } ], "container-title" : "International Journal of Antimicrobial Agents", "id" : "ITEM-1", "issue" : "6", "issued" : { "date-parts" : [ [ "2013", "10" ] ] }, "page" : "531-6", "publisher" : "Elsevier B.V.", "title" : "Early (2008\u20132010) hospital outbreak of Klebsiella pneumoniae producing OXA-48 carbapenemase in the UK", "type" : "article-journal", "volume" : "42" }, "uris" : [ "http://www.mendeley.com/documents/?uuid=c1c58251-da4b-46e8-be2e-b0aa25b8a2dd" ] } ], "mendeley" : { "formattedCitation" : "&lt;sup&gt;51&lt;/sup&gt;", "plainTextFormattedCitation" : "51", "previouslyFormattedCitation" : "&lt;sup&gt;52&lt;/sup&gt;" }, "properties" : { "noteIndex" : 0 }, "schema" : "https://github.com/citation-style-language/schema/raw/master/csl-citation.json" }</w:instrText>
      </w:r>
      <w:r w:rsidR="00130A1F"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51</w:t>
      </w:r>
      <w:r w:rsidR="00130A1F" w:rsidRPr="000767AE">
        <w:rPr>
          <w:rFonts w:ascii="Arial" w:hAnsi="Arial" w:cs="Arial"/>
          <w:sz w:val="24"/>
          <w:szCs w:val="24"/>
          <w:lang w:val="en-US"/>
        </w:rPr>
        <w:fldChar w:fldCharType="end"/>
      </w:r>
      <w:r w:rsidRPr="000767AE">
        <w:rPr>
          <w:rFonts w:ascii="Arial" w:hAnsi="Arial" w:cs="Arial"/>
          <w:sz w:val="24"/>
          <w:szCs w:val="24"/>
          <w:lang w:val="en-US"/>
        </w:rPr>
        <w:t xml:space="preserve"> </w:t>
      </w:r>
      <w:r w:rsidR="004A617C" w:rsidRPr="000767AE">
        <w:rPr>
          <w:rFonts w:ascii="Arial" w:hAnsi="Arial" w:cs="Arial"/>
          <w:sz w:val="24"/>
          <w:szCs w:val="24"/>
          <w:lang w:val="en-US"/>
        </w:rPr>
        <w:t xml:space="preserve">enzymes </w:t>
      </w:r>
      <w:r w:rsidRPr="000767AE">
        <w:rPr>
          <w:rFonts w:ascii="Arial" w:hAnsi="Arial" w:cs="Arial"/>
          <w:sz w:val="24"/>
          <w:szCs w:val="24"/>
          <w:lang w:val="en-US"/>
        </w:rPr>
        <w:t xml:space="preserve">being </w:t>
      </w:r>
      <w:r w:rsidR="00376F82" w:rsidRPr="000767AE">
        <w:rPr>
          <w:rFonts w:ascii="Arial" w:hAnsi="Arial" w:cs="Arial"/>
          <w:sz w:val="24"/>
          <w:szCs w:val="24"/>
          <w:lang w:val="en-US"/>
        </w:rPr>
        <w:t xml:space="preserve">the </w:t>
      </w:r>
      <w:r w:rsidRPr="000767AE">
        <w:rPr>
          <w:rFonts w:ascii="Arial" w:hAnsi="Arial" w:cs="Arial"/>
          <w:sz w:val="24"/>
          <w:szCs w:val="24"/>
          <w:lang w:val="en-US"/>
        </w:rPr>
        <w:t>greatest concern</w:t>
      </w:r>
      <w:r w:rsidR="001558E3" w:rsidRPr="000767AE">
        <w:rPr>
          <w:rFonts w:ascii="Arial" w:hAnsi="Arial" w:cs="Arial"/>
          <w:sz w:val="24"/>
          <w:szCs w:val="24"/>
          <w:lang w:val="en-US"/>
        </w:rPr>
        <w:t xml:space="preserve"> (</w:t>
      </w:r>
      <w:r w:rsidR="001558E3" w:rsidRPr="000767AE">
        <w:rPr>
          <w:rFonts w:ascii="Arial" w:hAnsi="Arial" w:cs="Arial"/>
          <w:b/>
          <w:sz w:val="24"/>
          <w:szCs w:val="24"/>
          <w:lang w:val="en-US"/>
        </w:rPr>
        <w:t xml:space="preserve">Figure </w:t>
      </w:r>
      <w:r w:rsidR="00BB431D" w:rsidRPr="000767AE">
        <w:rPr>
          <w:rFonts w:ascii="Arial" w:hAnsi="Arial" w:cs="Arial"/>
          <w:b/>
          <w:sz w:val="24"/>
          <w:szCs w:val="24"/>
          <w:lang w:val="en-US"/>
        </w:rPr>
        <w:t>2</w:t>
      </w:r>
      <w:r w:rsidR="00CF3E30" w:rsidRPr="000767AE">
        <w:rPr>
          <w:rFonts w:ascii="Arial" w:hAnsi="Arial" w:cs="Arial"/>
          <w:b/>
          <w:sz w:val="24"/>
          <w:szCs w:val="24"/>
          <w:lang w:val="en-US"/>
        </w:rPr>
        <w:fldChar w:fldCharType="begin" w:fldLock="1"/>
      </w:r>
      <w:r w:rsidR="009E0BAE">
        <w:rPr>
          <w:rFonts w:ascii="Arial" w:hAnsi="Arial" w:cs="Arial"/>
          <w:b/>
          <w:sz w:val="24"/>
          <w:szCs w:val="24"/>
          <w:lang w:val="en-US"/>
        </w:rPr>
        <w:instrText>ADDIN CSL_CITATION { "citationItems" : [ { "id" : "ITEM-1", "itemData" : { "DOI" : "10.1016/S1473-3099(11)70056-1", "ISSN" : "1474-4457", "PMID" : "21530894", "abstract" : "Metallo-\u03b2-lactamases are resistance determinants of increasing clinical relevance in Gram-negative bacteria. Because of their broad range, potent carbapenemase activity and resistance to inhibitors, these enzymes can confer resistance to almost all \u03b2-lactams. Since the 1990s, several metallo-\u03b2-lactamases encoded by mobile DNA have emerged in important Gram-negative pathogens (ie, in Enterobacteriaceae, Pseudomonas aeruginosa, and Acinetobacter baumannii). Some of these enzymes (eg, VIM-1 and NDM-1) have been involved in the recent crisis resulting from the international dissemination of carbapenem-resistant Klebsiella pneumoniae and other enterobacteria. Although substantial knowledge about the molecular biology and genetics of metallo-\u03b2-lactamases is available, epidemiological data are inconsistent and clinical experience is still lacking; therefore, several unsolved or debatable issues remain about the management of infections caused by producers of metallo-\u03b2-lactamase. The spread of metallo-\u03b2-lactamases presents a major challenge both for treatment of individual patients and for policies of infection control, exposing the substantial unpreparedness of public health structures in facing up to this emergency.", "author" : [ { "dropping-particle" : "", "family" : "Cornaglia", "given" : "Giuseppe", "non-dropping-particle" : "", "parse-names" : false, "suffix" : "" }, { "dropping-particle" : "", "family" : "Giamarellou", "given" : "Helen", "non-dropping-particle" : "", "parse-names" : false, "suffix" : "" }, { "dropping-particle" : "", "family" : "Rossolini", "given" : "Gian Maria", "non-dropping-particle" : "", "parse-names" : false, "suffix" : "" } ], "container-title" : "The Lancet infectious diseases", "id" : "ITEM-1", "issue" : "5", "issued" : { "date-parts" : [ [ "2011", "5" ] ] }, "page" : "381-93", "publisher" : "Elsevier Ltd", "title" : "Metallo-\u03b2-lactamases: a last frontier for \u03b2-lactams?", "type" : "article-journal", "volume" : "11" }, "uris" : [ "http://www.mendeley.com/documents/?uuid=93c54eb9-3f85-4143-8bf8-67f180e94d3f" ] }, { "id" : "ITEM-2", "itemData" : { "DOI" : "10.1016/j.drup.2014.04.002", "ISSN" : "1532-2084", "PMID" : "24880801", "abstract" : "Linezolid, approved for clinical use since 2000, has become an important addition to the anti-Gram-positive infection armamentarium. This oxazolidinone drug has in vitro and in vivo activity against essentially all Gram-positive organisms, including methicillin-resistant Staphylococcus aureus (MRSA) and vancomycin-resistant enterococci (VRE). The in vitro activity of linezolid was well documented prior to its clinical application, and several ongoing surveillance studies demonstrated consistent and potent results during the subsequent years of clinical use. Emergence of resistance has been limited and associated with invasive procedures, deep organ involvement, presence of foreign material and mainly prolonged therapy. Non-susceptible organisms usually demonstrate alterations in the 23S rRNA target, which remain the main resistance mechanism observed in enterococci; although a few reports have described the detection of cfr-mediated resistance in Enterococcus faecalis. S. aureus isolates non-susceptible to linezolid remain rare in large surveillance studies. Most isolates harbour 23S rRNA mutations; however, cfr-carrying MRSA isolates have been observed in the United States and elsewhere. It is still uncertain whether the occurrences of such isolates are becoming more prevalent. Coagulase-negative isolates (CoNS) resistant to linezolid were uncommon following clinical approval. Surveillance data have indicated that CoNS isolates, mainly Staphylococcus epidermidis, currently account for the majority of Gram-positive organisms displaying elevated MIC results to linezolid. In addition, these isolates frequently demonstrate complex and numerous resistance mechanisms, such as alterations in the ribosomal proteins L3 and/or L4 and/or presence of cfr and/or modifications in 23S rRNA. The knowledge acquired during the past decades on this initially used oxazolidinone has been utilized for developing new candidate agents, such as tedizolid and radezolid, and as linezolid patents soon begin to expire, generic brands will certainly become available. These events will likely establish a new chapter for this successful class of antimicrobial agents.", "author" : [ { "dropping-particle" : "", "family" : "Mendes", "given" : "Rodrigo E", "non-dropping-particle" : "", "parse-names" : false, "suffix" : "" }, { "dropping-particle" : "", "family" : "Deshpande", "given" : "Lalitagauri M", "non-dropping-particle" : "", "parse-names" : false, "suffix" : "" }, { "dropping-particle" : "", "family" : "Jones", "given" : "Ronald N", "non-dropping-particle" : "", "parse-names" : false, "suffix" : "" } ], "container-title" : "Drug Resistance Updates", "id" : "ITEM-2", "issued" : { "date-parts" : [ [ "2014", "4" ] ] }, "page" : "1-12", "publisher" : "Elsevier Ltd", "title" : "Linezolid update: Stable in vitro activity following more than a decade of clinical use and summary of associated resistance mechanisms.", "type" : "article-journal", "volume" : "17" }, "uris" : [ "http://www.mendeley.com/documents/?uuid=83b8783b-954e-4ef2-b0d3-0996ac6446a0" ] }, { "id" : "ITEM-3", "itemData" : { "author" : [ { "dropping-particle" : "", "family" : "World Health Organization", "given" : "", "non-dropping-particle" : "", "parse-names" : false, "suffix" : "" } ], "id" : "ITEM-3", "issued" : { "date-parts" : [ [ "2012" ] ] }, "publisher-place" : "Geneva", "title" : "Baseline report on global sexually transmitted infection surveillance 2012", "type" : "report" }, "uris" : [ "http://www.mendeley.com/documents/?uuid=ac6cb466-8f77-4e7c-bc41-ae867e0f4add" ] } ], "mendeley" : { "formattedCitation" : "&lt;sup&gt;52\u201354&lt;/sup&gt;", "plainTextFormattedCitation" : "52\u201354", "previouslyFormattedCitation" : "&lt;sup&gt;53\u201355&lt;/sup&gt;" }, "properties" : { "noteIndex" : 0 }, "schema" : "https://github.com/citation-style-language/schema/raw/master/csl-citation.json" }</w:instrText>
      </w:r>
      <w:r w:rsidR="00CF3E30" w:rsidRPr="000767AE">
        <w:rPr>
          <w:rFonts w:ascii="Arial" w:hAnsi="Arial" w:cs="Arial"/>
          <w:b/>
          <w:sz w:val="24"/>
          <w:szCs w:val="24"/>
          <w:lang w:val="en-US"/>
        </w:rPr>
        <w:fldChar w:fldCharType="separate"/>
      </w:r>
      <w:r w:rsidR="009E0BAE" w:rsidRPr="009E0BAE">
        <w:rPr>
          <w:rFonts w:ascii="Arial" w:hAnsi="Arial" w:cs="Arial"/>
          <w:noProof/>
          <w:sz w:val="24"/>
          <w:szCs w:val="24"/>
          <w:vertAlign w:val="superscript"/>
          <w:lang w:val="en-US"/>
        </w:rPr>
        <w:t>52–54</w:t>
      </w:r>
      <w:r w:rsidR="00CF3E30" w:rsidRPr="000767AE">
        <w:rPr>
          <w:rFonts w:ascii="Arial" w:hAnsi="Arial" w:cs="Arial"/>
          <w:b/>
          <w:sz w:val="24"/>
          <w:szCs w:val="24"/>
          <w:lang w:val="en-US"/>
        </w:rPr>
        <w:fldChar w:fldCharType="end"/>
      </w:r>
      <w:r w:rsidR="001558E3" w:rsidRPr="000767AE">
        <w:rPr>
          <w:rFonts w:ascii="Arial" w:hAnsi="Arial" w:cs="Arial"/>
          <w:sz w:val="24"/>
          <w:szCs w:val="24"/>
          <w:lang w:val="en-US"/>
        </w:rPr>
        <w:t>)</w:t>
      </w:r>
      <w:r w:rsidRPr="000767AE">
        <w:rPr>
          <w:rFonts w:ascii="Arial" w:hAnsi="Arial" w:cs="Arial"/>
          <w:sz w:val="24"/>
          <w:szCs w:val="24"/>
          <w:lang w:val="en-US"/>
        </w:rPr>
        <w:t>.</w:t>
      </w:r>
      <w:r w:rsidR="00130A1F" w:rsidRPr="000767AE">
        <w:rPr>
          <w:rFonts w:ascii="Arial" w:hAnsi="Arial" w:cs="Arial"/>
          <w:sz w:val="24"/>
          <w:szCs w:val="24"/>
          <w:lang w:val="en-US"/>
        </w:rPr>
        <w:t xml:space="preserve"> </w:t>
      </w:r>
      <w:r w:rsidR="009F2CEC" w:rsidRPr="000767AE">
        <w:rPr>
          <w:rFonts w:ascii="Arial" w:hAnsi="Arial" w:cs="Arial"/>
          <w:sz w:val="24"/>
          <w:szCs w:val="24"/>
          <w:lang w:val="en-US"/>
        </w:rPr>
        <w:t>T</w:t>
      </w:r>
      <w:r w:rsidR="00130A1F" w:rsidRPr="000767AE">
        <w:rPr>
          <w:rFonts w:ascii="Arial" w:hAnsi="Arial" w:cs="Arial"/>
          <w:sz w:val="24"/>
          <w:szCs w:val="24"/>
          <w:lang w:val="en-US"/>
        </w:rPr>
        <w:t>ravel related human</w:t>
      </w:r>
      <w:r w:rsidR="00FC5018" w:rsidRPr="000767AE">
        <w:rPr>
          <w:rFonts w:ascii="Arial" w:hAnsi="Arial" w:cs="Arial"/>
          <w:sz w:val="24"/>
          <w:szCs w:val="24"/>
          <w:lang w:val="en-US"/>
        </w:rPr>
        <w:t>-</w:t>
      </w:r>
      <w:r w:rsidR="00130A1F" w:rsidRPr="000767AE">
        <w:rPr>
          <w:rFonts w:ascii="Arial" w:hAnsi="Arial" w:cs="Arial"/>
          <w:sz w:val="24"/>
          <w:szCs w:val="24"/>
          <w:lang w:val="en-US"/>
        </w:rPr>
        <w:t xml:space="preserve">human </w:t>
      </w:r>
      <w:r w:rsidR="00376F82" w:rsidRPr="000767AE">
        <w:rPr>
          <w:rFonts w:ascii="Arial" w:hAnsi="Arial" w:cs="Arial"/>
          <w:sz w:val="24"/>
          <w:szCs w:val="24"/>
          <w:lang w:val="en-US"/>
        </w:rPr>
        <w:t xml:space="preserve">spread </w:t>
      </w:r>
      <w:r w:rsidR="00676552" w:rsidRPr="000767AE">
        <w:rPr>
          <w:rFonts w:ascii="Arial" w:hAnsi="Arial" w:cs="Arial"/>
          <w:sz w:val="24"/>
          <w:szCs w:val="24"/>
          <w:lang w:val="en-US"/>
        </w:rPr>
        <w:t xml:space="preserve">has </w:t>
      </w:r>
      <w:r w:rsidR="00846562" w:rsidRPr="000767AE">
        <w:rPr>
          <w:rFonts w:ascii="Arial" w:hAnsi="Arial" w:cs="Arial"/>
          <w:sz w:val="24"/>
          <w:szCs w:val="24"/>
          <w:lang w:val="en-US"/>
        </w:rPr>
        <w:t xml:space="preserve">also </w:t>
      </w:r>
      <w:r w:rsidR="00676552" w:rsidRPr="000767AE">
        <w:rPr>
          <w:rFonts w:ascii="Arial" w:hAnsi="Arial" w:cs="Arial"/>
          <w:sz w:val="24"/>
          <w:szCs w:val="24"/>
          <w:lang w:val="en-US"/>
        </w:rPr>
        <w:t xml:space="preserve">been </w:t>
      </w:r>
      <w:r w:rsidR="00130A1F" w:rsidRPr="000767AE">
        <w:rPr>
          <w:rFonts w:ascii="Arial" w:hAnsi="Arial" w:cs="Arial"/>
          <w:sz w:val="24"/>
          <w:szCs w:val="24"/>
          <w:lang w:val="en-US"/>
        </w:rPr>
        <w:t xml:space="preserve">evident </w:t>
      </w:r>
      <w:r w:rsidR="00376F82" w:rsidRPr="000767AE">
        <w:rPr>
          <w:rFonts w:ascii="Arial" w:hAnsi="Arial" w:cs="Arial"/>
          <w:sz w:val="24"/>
          <w:szCs w:val="24"/>
          <w:lang w:val="en-US"/>
        </w:rPr>
        <w:t xml:space="preserve">for </w:t>
      </w:r>
      <w:r w:rsidR="00130A1F" w:rsidRPr="000767AE">
        <w:rPr>
          <w:rFonts w:ascii="Arial" w:hAnsi="Arial" w:cs="Arial"/>
          <w:sz w:val="24"/>
          <w:szCs w:val="24"/>
          <w:lang w:val="en-US"/>
        </w:rPr>
        <w:t>Gram</w:t>
      </w:r>
      <w:r w:rsidR="00FC5018" w:rsidRPr="000767AE">
        <w:rPr>
          <w:rFonts w:ascii="Arial" w:hAnsi="Arial" w:cs="Arial"/>
          <w:sz w:val="24"/>
          <w:szCs w:val="24"/>
          <w:lang w:val="en-US"/>
        </w:rPr>
        <w:t>-</w:t>
      </w:r>
      <w:r w:rsidR="00130A1F" w:rsidRPr="000767AE">
        <w:rPr>
          <w:rFonts w:ascii="Arial" w:hAnsi="Arial" w:cs="Arial"/>
          <w:sz w:val="24"/>
          <w:szCs w:val="24"/>
          <w:lang w:val="en-US"/>
        </w:rPr>
        <w:t xml:space="preserve">positive organisms, notably in the spread of the antimicrobial resistant </w:t>
      </w:r>
      <w:r w:rsidR="00130A1F" w:rsidRPr="000767AE">
        <w:rPr>
          <w:rFonts w:ascii="Arial" w:hAnsi="Arial" w:cs="Arial"/>
          <w:i/>
          <w:sz w:val="24"/>
          <w:szCs w:val="24"/>
          <w:lang w:val="en-US"/>
        </w:rPr>
        <w:t xml:space="preserve">S. pneumoniae </w:t>
      </w:r>
      <w:r w:rsidR="00130A1F" w:rsidRPr="000767AE">
        <w:rPr>
          <w:rFonts w:ascii="Arial" w:hAnsi="Arial" w:cs="Arial"/>
          <w:sz w:val="24"/>
          <w:szCs w:val="24"/>
          <w:lang w:val="en-US"/>
        </w:rPr>
        <w:t>from Spain to Iceland.</w:t>
      </w:r>
      <w:r w:rsidR="00130A1F"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"ISSN" : "1076-6294", "PMID" : "9158744", "abstract" : "The prevalence of penicillin-resistant pneumococci (PRP) has been increasing, with the highest levels reported from countries with relatively unrestricted antimicrobial use. It has been low in northern Europe except Iceland, which is disconcerting as antimicrobial use in Iceland has been relatively restricted. This suggests that other factors may facilitate their spread. By studying their epidemiology and possible risk factors for carriage, we have attempted to explain their rapid spread in Iceland. The incidence of infections caused by PRP (as percentage of infections considered due to pneumococci) has increased from 0% in 1988 to 2.3% in 1989, 2.7% in 1990, 8.4% in 1991, 16.3% in 1992, and 19.8% in 1993. The infections have mainly affected 0- to 3-year-old children (71.4%), and the PRP belonged almost exclusively to serogroups 6, 19, and 23 (98.8%). Most were serotype 6B multiresistant (75%; resistant to penicillin (MIC = 1.0), cephalothin, erythromycin, clindamycin, tetracycline, chloramphenicol, fusidic acid, sulfonamides, and trimethoprim), and believed to belong to a single clone originating from Spain. The PRP have been prevalent in healthy children, 0-10% nasopharyngeal carriage, especially in day-care centers, with the highest prevalence in areas that had the highest antimicrobial consumption. Recent antimicrobial consumption, especially of trimethoprim-sulfa, appeared to increase PRP carriage. The rapid spread of PRP in Iceland may have been facilitated by high antimicrobial consumption in day-care centers (especially of trimethoprim-sulfa) which are attended by the majority of Icelandic children.", "author" : [ { "dropping-particle" : "", "family" : "Kristinsson", "given" : "K G", "non-dropping-particle" : "", "parse-names" : false, "suffix" : "" } ], "container-title" : "Microbial Drug Resistance", "id" : "ITEM-1", "issue" : "2", "issued" : { "date-parts" : [ [ "1995", "1" ] ] }, "page" : "121-5", "title" : "Epidemiology of penicillin resistant pneumococci in Iceland.", "type" : "article-journal", "volume" : "1" }, "uris" : [ "http://www.mendeley.com/documents/?uuid=59b20af9-16af-44b7-aebf-7d5392ff4197" ] } ], "mendeley" : { "formattedCitation" : "&lt;sup&gt;55&lt;/sup&gt;", "plainTextFormattedCitation" : "55", "previouslyFormattedCitation" : "&lt;sup&gt;56&lt;/sup&gt;" }, "properties" : { "noteIndex" : 0 }, "schema" : "https://github.com/citation-style-language/schema/raw/master/csl-citation.json" }</w:instrText>
      </w:r>
      <w:r w:rsidR="00130A1F"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55</w:t>
      </w:r>
      <w:r w:rsidR="00130A1F" w:rsidRPr="000767AE">
        <w:rPr>
          <w:rFonts w:ascii="Arial" w:hAnsi="Arial" w:cs="Arial"/>
          <w:sz w:val="24"/>
          <w:szCs w:val="24"/>
          <w:lang w:val="en-US"/>
        </w:rPr>
        <w:fldChar w:fldCharType="end"/>
      </w:r>
    </w:p>
    <w:p w14:paraId="0AAA6683" w14:textId="77777777" w:rsidR="00A053CE" w:rsidRPr="000767AE" w:rsidRDefault="00A053CE" w:rsidP="00A053CE">
      <w:pPr>
        <w:pStyle w:val="ListParagraph"/>
        <w:autoSpaceDE w:val="0"/>
        <w:autoSpaceDN w:val="0"/>
        <w:adjustRightInd w:val="0"/>
        <w:spacing w:after="0" w:line="240" w:lineRule="auto"/>
        <w:ind w:left="0"/>
        <w:rPr>
          <w:rFonts w:ascii="Arial" w:hAnsi="Arial" w:cs="Arial"/>
          <w:sz w:val="24"/>
          <w:szCs w:val="24"/>
          <w:lang w:val="en-US"/>
        </w:rPr>
      </w:pPr>
    </w:p>
    <w:p w14:paraId="462B68E9" w14:textId="4C8BDFD2" w:rsidR="00A053CE" w:rsidRPr="000767AE" w:rsidRDefault="00A053CE" w:rsidP="00A053CE">
      <w:pPr>
        <w:pStyle w:val="ListParagraph"/>
        <w:autoSpaceDE w:val="0"/>
        <w:autoSpaceDN w:val="0"/>
        <w:adjustRightInd w:val="0"/>
        <w:spacing w:after="0" w:line="240" w:lineRule="auto"/>
        <w:ind w:left="0"/>
        <w:rPr>
          <w:rFonts w:ascii="Arial" w:hAnsi="Arial" w:cs="Arial"/>
          <w:sz w:val="24"/>
          <w:szCs w:val="24"/>
          <w:lang w:val="en-US"/>
        </w:rPr>
      </w:pPr>
      <w:r w:rsidRPr="000767AE">
        <w:rPr>
          <w:rFonts w:ascii="Arial" w:hAnsi="Arial" w:cs="Arial"/>
          <w:sz w:val="24"/>
          <w:szCs w:val="24"/>
          <w:lang w:val="en-US"/>
        </w:rPr>
        <w:t xml:space="preserve">Population based </w:t>
      </w:r>
      <w:r w:rsidR="00F93DD2" w:rsidRPr="000767AE">
        <w:rPr>
          <w:rFonts w:ascii="Arial" w:hAnsi="Arial" w:cs="Arial"/>
          <w:sz w:val="24"/>
          <w:szCs w:val="24"/>
          <w:lang w:val="en-US"/>
        </w:rPr>
        <w:t xml:space="preserve">strategies to interrupt human-human transmission, </w:t>
      </w:r>
      <w:r w:rsidR="002F108F" w:rsidRPr="000767AE">
        <w:rPr>
          <w:rFonts w:ascii="Arial" w:hAnsi="Arial" w:cs="Arial"/>
          <w:sz w:val="24"/>
          <w:szCs w:val="24"/>
          <w:lang w:val="en-US"/>
        </w:rPr>
        <w:t>including</w:t>
      </w:r>
      <w:r w:rsidR="00F93DD2" w:rsidRPr="000767AE">
        <w:rPr>
          <w:rFonts w:ascii="Arial" w:hAnsi="Arial" w:cs="Arial"/>
          <w:sz w:val="24"/>
          <w:szCs w:val="24"/>
          <w:lang w:val="en-US"/>
        </w:rPr>
        <w:t xml:space="preserve"> </w:t>
      </w:r>
      <w:r w:rsidR="00676552" w:rsidRPr="000767AE">
        <w:rPr>
          <w:rFonts w:ascii="Arial" w:hAnsi="Arial" w:cs="Arial"/>
          <w:sz w:val="24"/>
          <w:szCs w:val="24"/>
          <w:lang w:val="en-US"/>
        </w:rPr>
        <w:t>through interventions such as</w:t>
      </w:r>
      <w:r w:rsidR="00F93DD2" w:rsidRPr="000767AE">
        <w:rPr>
          <w:rFonts w:ascii="Arial" w:hAnsi="Arial" w:cs="Arial"/>
          <w:sz w:val="24"/>
          <w:szCs w:val="24"/>
          <w:lang w:val="en-US"/>
        </w:rPr>
        <w:t xml:space="preserve"> mass drug administration</w:t>
      </w:r>
      <w:r w:rsidR="007F2E48" w:rsidRPr="000767AE">
        <w:rPr>
          <w:rFonts w:ascii="Arial" w:hAnsi="Arial" w:cs="Arial"/>
          <w:sz w:val="24"/>
          <w:szCs w:val="24"/>
          <w:lang w:val="en-US"/>
        </w:rPr>
        <w:t xml:space="preserve"> </w:t>
      </w:r>
      <w:r w:rsidR="002F108F" w:rsidRPr="000767AE">
        <w:rPr>
          <w:rFonts w:ascii="Arial" w:hAnsi="Arial" w:cs="Arial"/>
          <w:sz w:val="24"/>
          <w:szCs w:val="24"/>
          <w:lang w:val="en-US"/>
        </w:rPr>
        <w:t xml:space="preserve">and </w:t>
      </w:r>
      <w:r w:rsidR="007F2E48" w:rsidRPr="000767AE">
        <w:rPr>
          <w:rFonts w:ascii="Arial" w:hAnsi="Arial" w:cs="Arial"/>
          <w:sz w:val="24"/>
          <w:szCs w:val="24"/>
          <w:lang w:val="en-US"/>
        </w:rPr>
        <w:t>vaccin</w:t>
      </w:r>
      <w:r w:rsidR="00F93DD2" w:rsidRPr="000767AE">
        <w:rPr>
          <w:rFonts w:ascii="Arial" w:hAnsi="Arial" w:cs="Arial"/>
          <w:sz w:val="24"/>
          <w:szCs w:val="24"/>
          <w:lang w:val="en-US"/>
        </w:rPr>
        <w:t>ation</w:t>
      </w:r>
      <w:r w:rsidR="007F2E48" w:rsidRPr="000767AE">
        <w:rPr>
          <w:rFonts w:ascii="Arial" w:hAnsi="Arial" w:cs="Arial"/>
          <w:sz w:val="24"/>
          <w:szCs w:val="24"/>
          <w:lang w:val="en-US"/>
        </w:rPr>
        <w:t xml:space="preserve">, </w:t>
      </w:r>
      <w:r w:rsidRPr="000767AE">
        <w:rPr>
          <w:rFonts w:ascii="Arial" w:hAnsi="Arial" w:cs="Arial"/>
          <w:sz w:val="24"/>
          <w:szCs w:val="24"/>
          <w:lang w:val="en-US"/>
        </w:rPr>
        <w:t xml:space="preserve">may </w:t>
      </w:r>
      <w:r w:rsidR="00F93DD2" w:rsidRPr="000767AE">
        <w:rPr>
          <w:rFonts w:ascii="Arial" w:hAnsi="Arial" w:cs="Arial"/>
          <w:sz w:val="24"/>
          <w:szCs w:val="24"/>
          <w:lang w:val="en-US"/>
        </w:rPr>
        <w:t>alter</w:t>
      </w:r>
      <w:r w:rsidR="007F2E48" w:rsidRPr="000767AE">
        <w:rPr>
          <w:rFonts w:ascii="Arial" w:hAnsi="Arial" w:cs="Arial"/>
          <w:sz w:val="24"/>
          <w:szCs w:val="24"/>
          <w:lang w:val="en-US"/>
        </w:rPr>
        <w:t xml:space="preserve"> the transmission dynamics</w:t>
      </w:r>
      <w:r w:rsidRPr="000767AE">
        <w:rPr>
          <w:rFonts w:ascii="Arial" w:hAnsi="Arial" w:cs="Arial"/>
          <w:sz w:val="24"/>
          <w:szCs w:val="24"/>
          <w:lang w:val="en-US"/>
        </w:rPr>
        <w:t xml:space="preserve"> of pathogens </w:t>
      </w:r>
      <w:r w:rsidR="00FC5018" w:rsidRPr="000767AE">
        <w:rPr>
          <w:rFonts w:ascii="Arial" w:hAnsi="Arial" w:cs="Arial"/>
          <w:sz w:val="24"/>
          <w:szCs w:val="24"/>
          <w:lang w:val="en-US"/>
        </w:rPr>
        <w:t>and</w:t>
      </w:r>
      <w:r w:rsidRPr="000767AE">
        <w:rPr>
          <w:rFonts w:ascii="Arial" w:hAnsi="Arial" w:cs="Arial"/>
          <w:sz w:val="24"/>
          <w:szCs w:val="24"/>
          <w:lang w:val="en-US"/>
        </w:rPr>
        <w:t xml:space="preserve"> resistance </w:t>
      </w:r>
      <w:r w:rsidR="00676552" w:rsidRPr="000767AE">
        <w:rPr>
          <w:rFonts w:ascii="Arial" w:hAnsi="Arial" w:cs="Arial"/>
          <w:sz w:val="24"/>
          <w:szCs w:val="24"/>
          <w:lang w:val="en-US"/>
        </w:rPr>
        <w:t>determinants</w:t>
      </w:r>
      <w:r w:rsidRPr="000767AE">
        <w:rPr>
          <w:rFonts w:ascii="Arial" w:hAnsi="Arial" w:cs="Arial"/>
          <w:sz w:val="24"/>
          <w:szCs w:val="24"/>
          <w:lang w:val="en-US"/>
        </w:rPr>
        <w:t xml:space="preserve">. </w:t>
      </w:r>
      <w:r w:rsidR="00676552" w:rsidRPr="000767AE">
        <w:rPr>
          <w:rFonts w:ascii="Arial" w:hAnsi="Arial" w:cs="Arial"/>
          <w:sz w:val="24"/>
          <w:szCs w:val="24"/>
          <w:lang w:val="en-US"/>
        </w:rPr>
        <w:t xml:space="preserve">Evidence for this is strongest </w:t>
      </w:r>
      <w:r w:rsidR="00A207F8" w:rsidRPr="000767AE">
        <w:rPr>
          <w:rFonts w:ascii="Arial" w:hAnsi="Arial" w:cs="Arial"/>
          <w:sz w:val="24"/>
          <w:szCs w:val="24"/>
          <w:lang w:val="en-US"/>
        </w:rPr>
        <w:t>for</w:t>
      </w:r>
      <w:r w:rsidR="00357673" w:rsidRPr="000767AE">
        <w:rPr>
          <w:rFonts w:ascii="Arial" w:hAnsi="Arial" w:cs="Arial"/>
          <w:sz w:val="24"/>
          <w:szCs w:val="24"/>
          <w:lang w:val="en-US"/>
        </w:rPr>
        <w:t xml:space="preserve"> vaccines</w:t>
      </w:r>
      <w:r w:rsidR="00A207F8" w:rsidRPr="000767AE">
        <w:rPr>
          <w:rFonts w:ascii="Arial" w:hAnsi="Arial" w:cs="Arial"/>
          <w:sz w:val="24"/>
          <w:szCs w:val="24"/>
          <w:lang w:val="en-US"/>
        </w:rPr>
        <w:t>; use can result in</w:t>
      </w:r>
      <w:r w:rsidR="00846562" w:rsidRPr="000767AE">
        <w:rPr>
          <w:rFonts w:ascii="Arial" w:hAnsi="Arial" w:cs="Arial"/>
          <w:sz w:val="24"/>
          <w:szCs w:val="24"/>
          <w:lang w:val="en-US"/>
        </w:rPr>
        <w:t xml:space="preserve"> </w:t>
      </w:r>
      <w:r w:rsidR="00AB7280" w:rsidRPr="000767AE">
        <w:rPr>
          <w:rFonts w:ascii="Arial" w:hAnsi="Arial" w:cs="Arial"/>
          <w:sz w:val="24"/>
          <w:szCs w:val="24"/>
          <w:lang w:val="en-US"/>
        </w:rPr>
        <w:t>reduc</w:t>
      </w:r>
      <w:r w:rsidR="002F108F" w:rsidRPr="000767AE">
        <w:rPr>
          <w:rFonts w:ascii="Arial" w:hAnsi="Arial" w:cs="Arial"/>
          <w:sz w:val="24"/>
          <w:szCs w:val="24"/>
          <w:lang w:val="en-US"/>
        </w:rPr>
        <w:t>tion</w:t>
      </w:r>
      <w:r w:rsidR="00AB7280" w:rsidRPr="000767AE">
        <w:rPr>
          <w:rFonts w:ascii="Arial" w:hAnsi="Arial" w:cs="Arial"/>
          <w:sz w:val="24"/>
          <w:szCs w:val="24"/>
          <w:lang w:val="en-US"/>
        </w:rPr>
        <w:t xml:space="preserve"> or eliminat</w:t>
      </w:r>
      <w:r w:rsidR="00CF1703" w:rsidRPr="000767AE">
        <w:rPr>
          <w:rFonts w:ascii="Arial" w:hAnsi="Arial" w:cs="Arial"/>
          <w:sz w:val="24"/>
          <w:szCs w:val="24"/>
          <w:lang w:val="en-US"/>
        </w:rPr>
        <w:t>ion</w:t>
      </w:r>
      <w:r w:rsidR="00AB7280" w:rsidRPr="000767AE">
        <w:rPr>
          <w:rFonts w:ascii="Arial" w:hAnsi="Arial" w:cs="Arial"/>
          <w:sz w:val="24"/>
          <w:szCs w:val="24"/>
          <w:lang w:val="en-US"/>
        </w:rPr>
        <w:t xml:space="preserve"> of the target infection </w:t>
      </w:r>
      <w:r w:rsidR="00676552" w:rsidRPr="000767AE">
        <w:rPr>
          <w:rFonts w:ascii="Arial" w:hAnsi="Arial" w:cs="Arial"/>
          <w:sz w:val="24"/>
          <w:szCs w:val="24"/>
          <w:lang w:val="en-US"/>
        </w:rPr>
        <w:t>reduc</w:t>
      </w:r>
      <w:r w:rsidR="00A207F8" w:rsidRPr="000767AE">
        <w:rPr>
          <w:rFonts w:ascii="Arial" w:hAnsi="Arial" w:cs="Arial"/>
          <w:sz w:val="24"/>
          <w:szCs w:val="24"/>
          <w:lang w:val="en-US"/>
        </w:rPr>
        <w:t xml:space="preserve">ing </w:t>
      </w:r>
      <w:r w:rsidR="00AB7280" w:rsidRPr="000767AE">
        <w:rPr>
          <w:rFonts w:ascii="Arial" w:hAnsi="Arial" w:cs="Arial"/>
          <w:sz w:val="24"/>
          <w:szCs w:val="24"/>
          <w:lang w:val="en-US"/>
        </w:rPr>
        <w:t xml:space="preserve">the need for antimicrobial treatment and selection </w:t>
      </w:r>
      <w:r w:rsidR="00A207F8" w:rsidRPr="000767AE">
        <w:rPr>
          <w:rFonts w:ascii="Arial" w:hAnsi="Arial" w:cs="Arial"/>
          <w:sz w:val="24"/>
          <w:szCs w:val="24"/>
          <w:lang w:val="en-US"/>
        </w:rPr>
        <w:t>of</w:t>
      </w:r>
      <w:r w:rsidR="00AB7280" w:rsidRPr="000767AE">
        <w:rPr>
          <w:rFonts w:ascii="Arial" w:hAnsi="Arial" w:cs="Arial"/>
          <w:sz w:val="24"/>
          <w:szCs w:val="24"/>
          <w:lang w:val="en-US"/>
        </w:rPr>
        <w:t xml:space="preserve"> AMR.</w:t>
      </w:r>
      <w:r w:rsidR="00F00F62"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"10.1016/S1473-3099(08)70281-0", "ISSN" : "1473-3099", "PMID" : "19022193", "abstract" : "Reduction of drug-resistant Streptococcus pneumoniae (DRSP) by pneumococcal conjugate vaccines (PCVs) has recently become a reality. We now know that (1) most clinically significant DRSP strains belong to seven serotypes (6A, 6B, 9V, 14, 19A, 19F, 23F), (2) five (6B, 9V, 14, 19F, 23F) of the seven are constituents of heptavalent PCV (PCV7), and (3) the remaining two serotypes (6A, 19A) are immunologically related to serotypes in PCV7, but only 6A has been reduced by PCV7. Furthermore, PCVs can also reduce DRSP in unvaccinated individuals (herd immunity). PCVs lead to a reduction in antibiotic use, which is also potentially helpful to contain DRSP. Although a reduction in disease caused by most penicillin-resistant strains has been reported, reductions in intermediately penicillin-resistant strains has not been shown to the same degree, because of increased intermediate resistance among non-PCV7 serotypes. Serotype 19A, which is both antibiotic resistant and a common cause of disease, is not affected by PCV7, and is now increasing worldwide, including in countries without PCV7. Continued exposure of non-PCV7 serotypes to antibiotic pressure may reduce the overall impact of PCVs on DRSP. Further strategies include expansion of PCV serotype coverage, development of protein-based vaccines, and further limitation of antibiotic use.", "author" : [ { "dropping-particle" : "", "family" : "Dagan", "given" : "Ron", "non-dropping-particle" : "", "parse-names" : false, "suffix" : "" }, { "dropping-particle" : "", "family" : "Klugman", "given" : "Keith P", "non-dropping-particle" : "", "parse-names" : false, "suffix" : "" } ], "container-title" : "Lancet Infectious Diseases", "id" : "ITEM-1", "issue" : "12", "issued" : { "date-parts" : [ [ "2008", "12" ] ] }, "page" : "785-95", "publisher" : "Elsevier Ltd", "title" : "Impact of conjugate pneumococcal vaccines on antibiotic resistance.", "type" : "article-journal", "volume" : "8" }, "uris" : [ "http://www.mendeley.com/documents/?uuid=63416c56-bdbf-4034-a268-adf1f8249e86" ] } ], "mendeley" : { "formattedCitation" : "&lt;sup&gt;56&lt;/sup&gt;", "plainTextFormattedCitation" : "56", "previouslyFormattedCitation" : "&lt;sup&gt;57&lt;/sup&gt;" }, "properties" : { "noteIndex" : 0 }, "schema" : "https://github.com/citation-style-language/schema/raw/master/csl-citation.json" }</w:instrText>
      </w:r>
      <w:r w:rsidR="00F00F62"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56</w:t>
      </w:r>
      <w:r w:rsidR="00F00F62" w:rsidRPr="000767AE">
        <w:rPr>
          <w:rFonts w:ascii="Arial" w:hAnsi="Arial" w:cs="Arial"/>
          <w:sz w:val="24"/>
          <w:szCs w:val="24"/>
          <w:lang w:val="en-US"/>
        </w:rPr>
        <w:fldChar w:fldCharType="end"/>
      </w:r>
      <w:r w:rsidR="00AB7280" w:rsidRPr="000767AE">
        <w:rPr>
          <w:rFonts w:ascii="Arial" w:hAnsi="Arial" w:cs="Arial"/>
          <w:sz w:val="24"/>
          <w:szCs w:val="24"/>
          <w:lang w:val="en-US"/>
        </w:rPr>
        <w:t xml:space="preserve"> </w:t>
      </w:r>
      <w:r w:rsidR="00A1490E" w:rsidRPr="000767AE">
        <w:rPr>
          <w:rFonts w:ascii="Arial" w:hAnsi="Arial" w:cs="Arial"/>
          <w:sz w:val="24"/>
          <w:szCs w:val="24"/>
          <w:lang w:val="en-US"/>
        </w:rPr>
        <w:t>T</w:t>
      </w:r>
      <w:r w:rsidR="00AB7280" w:rsidRPr="000767AE">
        <w:rPr>
          <w:rFonts w:ascii="Arial" w:hAnsi="Arial" w:cs="Arial"/>
          <w:sz w:val="24"/>
          <w:szCs w:val="24"/>
          <w:lang w:val="en-US"/>
        </w:rPr>
        <w:t xml:space="preserve">argeting vaccines against </w:t>
      </w:r>
      <w:r w:rsidR="00F00F62" w:rsidRPr="000767AE">
        <w:rPr>
          <w:rFonts w:ascii="Arial" w:hAnsi="Arial" w:cs="Arial"/>
          <w:sz w:val="24"/>
          <w:szCs w:val="24"/>
          <w:lang w:val="en-US"/>
        </w:rPr>
        <w:t xml:space="preserve">strains with </w:t>
      </w:r>
      <w:r w:rsidR="00AB7280" w:rsidRPr="000767AE">
        <w:rPr>
          <w:rFonts w:ascii="Arial" w:hAnsi="Arial" w:cs="Arial"/>
          <w:sz w:val="24"/>
          <w:szCs w:val="24"/>
          <w:lang w:val="en-US"/>
        </w:rPr>
        <w:t xml:space="preserve">drug-resistance </w:t>
      </w:r>
      <w:r w:rsidR="00A1490E" w:rsidRPr="000767AE">
        <w:rPr>
          <w:rFonts w:ascii="Arial" w:hAnsi="Arial" w:cs="Arial"/>
          <w:sz w:val="24"/>
          <w:szCs w:val="24"/>
          <w:lang w:val="en-US"/>
        </w:rPr>
        <w:t>has been suggested</w:t>
      </w:r>
      <w:r w:rsidR="00AB7280" w:rsidRPr="000767AE">
        <w:rPr>
          <w:rFonts w:ascii="Arial" w:hAnsi="Arial" w:cs="Arial"/>
          <w:sz w:val="24"/>
          <w:szCs w:val="24"/>
          <w:lang w:val="en-US"/>
        </w:rPr>
        <w:t>, and provision of even slightly higher rates of protecti</w:t>
      </w:r>
      <w:r w:rsidR="00F00F62" w:rsidRPr="000767AE">
        <w:rPr>
          <w:rFonts w:ascii="Arial" w:hAnsi="Arial" w:cs="Arial"/>
          <w:sz w:val="24"/>
          <w:szCs w:val="24"/>
          <w:lang w:val="en-US"/>
        </w:rPr>
        <w:t>on for drug-resistant over drug-</w:t>
      </w:r>
      <w:r w:rsidR="00AB7280" w:rsidRPr="000767AE">
        <w:rPr>
          <w:rFonts w:ascii="Arial" w:hAnsi="Arial" w:cs="Arial"/>
          <w:sz w:val="24"/>
          <w:szCs w:val="24"/>
          <w:lang w:val="en-US"/>
        </w:rPr>
        <w:t>sensitive strains may be an effective tool in controlling AMR.</w:t>
      </w:r>
      <w:r w:rsidR="00F00F62"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"10.1371/journal.pone.0068940", "ISSN" : "1932-6203", "PMID" : "23935910", "abstract" : "The growing prevalence of antimicrobial resistance in major pathogens is outpacing discovery of new antimicrobial classes. Vaccines mitigate the effect of antimicrobial resistance by reducing the need for treatment, but vaccines for many drug-resistant pathogens remain undiscovered or have limited efficacy, in part because some vaccines selectively favor pathogen strains that escape vaccine-induced immunity. A strain with even a modest advantage in vaccinated hosts can have high fitness in a population with high vaccine coverage, which can offset a strong selection pressure such as antimicrobial use that occurs in a small fraction of hosts. We propose a strategy to target vaccines against drug-resistant pathogens, by using resistance-conferring proteins as antigens in multicomponent vaccines. Resistance determinants may be weakly immunogenic, offering only modest specific protection against resistant strains. Therefore, we assess here how varying the specific efficacy of the vaccine against resistant strains would affect the proportion of drug-resistant vs. -sensitive strains population-wide for three pathogens--Streptococcus pneumoniae, Staphylococcus aureus, and influenza virus--in which drug resistance is a problem. Notably, if such vaccines confer even slightly higher protection (additional efficacy between 1% and 8%) against resistant variants than sensitive ones, they may be an effective tool in controlling the rise of resistant strains, given current levels of use for many antimicrobial agents. We show that the population-wide impact of such vaccines depends on the additional effect on resistant strains and on the overall effect (against all strains). Resistance-conferring accessory gene products or resistant alleles of essential genes could be valuable as components of vaccines even if their specific protective effect is weak.", "author" : [ { "dropping-particle" : "", "family" : "Joice", "given" : "Regina", "non-dropping-particle" : "", "parse-names" : false, "suffix" : "" }, { "dropping-particle" : "", "family" : "Lipsitch", "given" : "Marc", "non-dropping-particle" : "", "parse-names" : false, "suffix" : "" } ], "container-title" : "PloS One", "id" : "ITEM-1", "issue" : "7", "issued" : { "date-parts" : [ [ "2013", "1" ] ] }, "page" : "e68940", "title" : "Targeting imperfect vaccines against drug-resistance determinants: a strategy for countering the rise of drug resistance.", "type" : "article-journal", "volume" : "8" }, "uris" : [ "http://www.mendeley.com/documents/?uuid=0e6d0003-a22e-4377-bf5f-fc162526c72f" ] } ], "mendeley" : { "formattedCitation" : "&lt;sup&gt;57&lt;/sup&gt;", "plainTextFormattedCitation" : "57", "previouslyFormattedCitation" : "&lt;sup&gt;58&lt;/sup&gt;" }, "properties" : { "noteIndex" : 0 }, "schema" : "https://github.com/citation-style-language/schema/raw/master/csl-citation.json" }</w:instrText>
      </w:r>
      <w:r w:rsidR="00F00F62"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57</w:t>
      </w:r>
      <w:r w:rsidR="00F00F62" w:rsidRPr="000767AE">
        <w:rPr>
          <w:rFonts w:ascii="Arial" w:hAnsi="Arial" w:cs="Arial"/>
          <w:sz w:val="24"/>
          <w:szCs w:val="24"/>
          <w:lang w:val="en-US"/>
        </w:rPr>
        <w:fldChar w:fldCharType="end"/>
      </w:r>
      <w:r w:rsidR="00BB431D" w:rsidRPr="000767AE">
        <w:rPr>
          <w:rFonts w:ascii="Arial" w:hAnsi="Arial" w:cs="Arial"/>
          <w:sz w:val="24"/>
          <w:szCs w:val="24"/>
          <w:lang w:val="en-US"/>
        </w:rPr>
        <w:t xml:space="preserve"> </w:t>
      </w:r>
      <w:r w:rsidR="00AB7280" w:rsidRPr="000767AE">
        <w:rPr>
          <w:rFonts w:ascii="Arial" w:hAnsi="Arial" w:cs="Arial"/>
          <w:sz w:val="24"/>
          <w:szCs w:val="24"/>
          <w:lang w:val="en-US"/>
        </w:rPr>
        <w:t xml:space="preserve">Finally, </w:t>
      </w:r>
      <w:r w:rsidR="007F2E48" w:rsidRPr="000767AE">
        <w:rPr>
          <w:rFonts w:ascii="Arial" w:hAnsi="Arial" w:cs="Arial"/>
          <w:sz w:val="24"/>
          <w:szCs w:val="24"/>
          <w:lang w:val="en-US"/>
        </w:rPr>
        <w:t>controlling antimicrobial resistance through use of targeted, vaccine-induced replacement strains has</w:t>
      </w:r>
      <w:r w:rsidRPr="000767AE">
        <w:rPr>
          <w:rFonts w:ascii="Arial" w:hAnsi="Arial" w:cs="Arial"/>
          <w:sz w:val="24"/>
          <w:szCs w:val="24"/>
          <w:lang w:val="en-US"/>
        </w:rPr>
        <w:t xml:space="preserve"> been proposed.</w:t>
      </w:r>
      <w:r w:rsidR="00130A1F"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"10.1371/journal.pone.0050688", "ISSN" : "1932-6203", "PMID" : "23227198", "abstract" : "Vaccination has proven effective in controlling many infectious diseases. However, differential effectiveness with regard to pathogen genotype is a frequent reason for failures in vaccine development. Often, insufficient immune response is induced to prevent infection by the diversity of existing serotypes present in pathogenic populations of bacteria. These vaccines that target a too narrow spectrum of serotypes do not offer sufficient prevention of infections, and can also lead to undesirable strain replacements. Here, we examine a novel idea to specifically exploit the narrow spectrum coverage of some vaccines to combat specific, emerging multi- and pan-resistant strains of pathogens. Application of a narrow-spectrum vaccine could serve to prevent infections by some strains that are hard to treat, rather than offer the vaccinated individual protection against infections by the pathogenic species as such. We suggest that vaccines targeted to resistant serotypes have the potential to become important public health tools, and would represent a new approach toward reducing the burden of particular multi-resistant strains occurring in hospitals. Vaccines targeting drug-resistant serotypes would also be the first clinical intervention with the potential to drive the evolution of pathogenic populations toward drug-sensitivity. We illustrate the feasibility of this approach by modeling a hypothetical vaccine that targets a subset of methicillin-resistant Staphylococcus aureus (MRSA) genotypes, in combination with drug treatment targeted at drug-sensitive genotypes. We find that a combined intervention strategy can limit nosocomial outbreaks, even when vaccine efficacy is imperfect. The broader utility of vaccine-based resistance control strategies should be further explored taking into account population structure, and the resistance and transmission patterns of the pathogen considered.", "author" : [ { "dropping-particle" : "", "family" : "Tekle", "given" : "Yonas I", "non-dropping-particle" : "", "parse-names" : false, "suffix" : "" }, { "dropping-particle" : "", "family" : "Nielsen", "given" : "Kaare M", "non-dropping-particle" : "", "parse-names" : false, "suffix" : "" }, { "dropping-particle" : "", "family" : "Liu", "given" : "Jingzhou", "non-dropping-particle" : "", "parse-names" : false, "suffix" : "" }, { "dropping-particle" : "", "family" : "Pettigrew", "given" : "Melinda M", "non-dropping-particle" : "", "parse-names" : false, "suffix" : "" }, { "dropping-particle" : "", "family" : "Meyers", "given" : "Lauren a", "non-dropping-particle" : "", "parse-names" : false, "suffix" : "" }, { "dropping-particle" : "", "family" : "Galvani", "given" : "Alison P", "non-dropping-particle" : "", "parse-names" : false, "suffix" : "" }, { "dropping-particle" : "", "family" : "Townsend", "given" : "Jeffrey P", "non-dropping-particle" : "", "parse-names" : false, "suffix" : "" } ], "container-title" : "PloS one", "id" : "ITEM-1", "issue" : "12", "issued" : { "date-parts" : [ [ "2012", "1" ] ] }, "page" : "e50688", "title" : "Controlling antimicrobial resistance through targeted, vaccine-induced replacement of strains.", "type" : "article-journal", "volume" : "7" }, "uris" : [ "http://www.mendeley.com/documents/?uuid=c9255e1a-834e-429f-a5dc-3e616572dfcd" ] } ], "mendeley" : { "formattedCitation" : "&lt;sup&gt;58&lt;/sup&gt;", "plainTextFormattedCitation" : "58", "previouslyFormattedCitation" : "&lt;sup&gt;59&lt;/sup&gt;" }, "properties" : { "noteIndex" : 0 }, "schema" : "https://github.com/citation-style-language/schema/raw/master/csl-citation.json" }</w:instrText>
      </w:r>
      <w:r w:rsidR="00130A1F"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58</w:t>
      </w:r>
      <w:r w:rsidR="00130A1F" w:rsidRPr="000767AE">
        <w:rPr>
          <w:rFonts w:ascii="Arial" w:hAnsi="Arial" w:cs="Arial"/>
          <w:sz w:val="24"/>
          <w:szCs w:val="24"/>
          <w:lang w:val="en-US"/>
        </w:rPr>
        <w:fldChar w:fldCharType="end"/>
      </w:r>
      <w:r w:rsidR="00AB7280" w:rsidRPr="000767AE">
        <w:rPr>
          <w:rFonts w:ascii="Arial" w:hAnsi="Arial" w:cs="Arial"/>
          <w:sz w:val="24"/>
          <w:szCs w:val="24"/>
          <w:lang w:val="en-US"/>
        </w:rPr>
        <w:t xml:space="preserve"> </w:t>
      </w:r>
    </w:p>
    <w:p w14:paraId="0A648AC4" w14:textId="77777777" w:rsidR="00A053CE" w:rsidRPr="000767AE" w:rsidRDefault="00A053CE" w:rsidP="00A053CE">
      <w:pPr>
        <w:rPr>
          <w:rFonts w:ascii="Arial" w:hAnsi="Arial" w:cs="Arial"/>
          <w:sz w:val="24"/>
          <w:szCs w:val="24"/>
        </w:rPr>
      </w:pPr>
    </w:p>
    <w:p w14:paraId="4E2C25B1" w14:textId="5E7410CA" w:rsidR="00A053CE" w:rsidRPr="000767AE" w:rsidRDefault="00A053CE" w:rsidP="00A053CE">
      <w:pPr>
        <w:pStyle w:val="Heading3"/>
        <w:spacing w:before="0"/>
        <w:rPr>
          <w:rFonts w:ascii="Arial" w:hAnsi="Arial" w:cs="Arial"/>
          <w:i/>
          <w:color w:val="auto"/>
          <w:lang w:eastAsia="en-GB"/>
        </w:rPr>
      </w:pPr>
      <w:bookmarkStart w:id="8" w:name="_Toc381719165"/>
      <w:r w:rsidRPr="000767AE">
        <w:rPr>
          <w:rFonts w:ascii="Arial" w:hAnsi="Arial"/>
          <w:i/>
          <w:lang w:eastAsia="en-GB"/>
        </w:rPr>
        <w:t xml:space="preserve">3) </w:t>
      </w:r>
      <w:r w:rsidR="00A42234" w:rsidRPr="000767AE">
        <w:rPr>
          <w:rFonts w:ascii="Arial" w:hAnsi="Arial"/>
          <w:i/>
          <w:lang w:eastAsia="en-GB"/>
        </w:rPr>
        <w:t>What is the role of animals and the environment in driving transmission of resistance?</w:t>
      </w:r>
      <w:bookmarkEnd w:id="8"/>
    </w:p>
    <w:p w14:paraId="0EAEE2C0" w14:textId="7C5CF534" w:rsidR="00A053CE" w:rsidRPr="000767AE" w:rsidRDefault="00A053CE" w:rsidP="00A053CE">
      <w:pPr>
        <w:rPr>
          <w:rFonts w:ascii="Arial" w:hAnsi="Arial" w:cs="Arial"/>
          <w:sz w:val="24"/>
          <w:szCs w:val="24"/>
          <w:lang w:val="en-US"/>
        </w:rPr>
      </w:pPr>
      <w:r w:rsidRPr="000767AE">
        <w:rPr>
          <w:rFonts w:ascii="Arial" w:hAnsi="Arial" w:cs="Arial"/>
          <w:sz w:val="24"/>
          <w:szCs w:val="24"/>
          <w:lang w:val="en-US"/>
        </w:rPr>
        <w:t xml:space="preserve">The potential for transmission of </w:t>
      </w:r>
      <w:r w:rsidR="00FC5018" w:rsidRPr="000767AE">
        <w:rPr>
          <w:rFonts w:ascii="Arial" w:hAnsi="Arial" w:cs="Arial"/>
          <w:sz w:val="24"/>
          <w:szCs w:val="24"/>
          <w:lang w:val="en-US"/>
        </w:rPr>
        <w:t>AMR microbes</w:t>
      </w:r>
      <w:r w:rsidRPr="000767AE">
        <w:rPr>
          <w:rFonts w:ascii="Arial" w:hAnsi="Arial" w:cs="Arial"/>
          <w:sz w:val="24"/>
          <w:szCs w:val="24"/>
          <w:lang w:val="en-US"/>
        </w:rPr>
        <w:t xml:space="preserve"> from animals to humans</w:t>
      </w:r>
      <w:r w:rsidR="00B41D1B" w:rsidRPr="000767AE">
        <w:rPr>
          <w:rFonts w:ascii="Arial" w:hAnsi="Arial" w:cs="Arial"/>
          <w:sz w:val="24"/>
          <w:szCs w:val="24"/>
          <w:lang w:val="en-US"/>
        </w:rPr>
        <w:t>,</w:t>
      </w:r>
      <w:r w:rsidRPr="000767AE">
        <w:rPr>
          <w:rFonts w:ascii="Arial" w:hAnsi="Arial" w:cs="Arial"/>
          <w:sz w:val="24"/>
          <w:szCs w:val="24"/>
          <w:lang w:val="en-US"/>
        </w:rPr>
        <w:t xml:space="preserve"> </w:t>
      </w:r>
      <w:r w:rsidR="004E5208" w:rsidRPr="000767AE">
        <w:rPr>
          <w:rFonts w:ascii="Arial" w:hAnsi="Arial" w:cs="Arial"/>
          <w:sz w:val="24"/>
          <w:szCs w:val="24"/>
          <w:lang w:val="en-US"/>
        </w:rPr>
        <w:t>and the association between use of antimicrobial growth promoters in farm animals and transmission of resistant bacteria</w:t>
      </w:r>
      <w:r w:rsidR="00B41D1B" w:rsidRPr="000767AE">
        <w:rPr>
          <w:rFonts w:ascii="Arial" w:hAnsi="Arial" w:cs="Arial"/>
          <w:sz w:val="24"/>
          <w:szCs w:val="24"/>
          <w:lang w:val="en-US"/>
        </w:rPr>
        <w:t>,</w:t>
      </w:r>
      <w:r w:rsidR="004E5208" w:rsidRPr="000767AE">
        <w:rPr>
          <w:rFonts w:ascii="Arial" w:hAnsi="Arial" w:cs="Arial"/>
          <w:sz w:val="24"/>
          <w:szCs w:val="24"/>
          <w:lang w:val="en-US"/>
        </w:rPr>
        <w:t xml:space="preserve"> </w:t>
      </w:r>
      <w:r w:rsidR="00B41D1B" w:rsidRPr="000767AE">
        <w:rPr>
          <w:rFonts w:ascii="Arial" w:hAnsi="Arial" w:cs="Arial"/>
          <w:sz w:val="24"/>
          <w:szCs w:val="24"/>
          <w:lang w:val="en-US"/>
        </w:rPr>
        <w:t xml:space="preserve">were </w:t>
      </w:r>
      <w:r w:rsidRPr="000767AE">
        <w:rPr>
          <w:rFonts w:ascii="Arial" w:hAnsi="Arial" w:cs="Arial"/>
          <w:sz w:val="24"/>
          <w:szCs w:val="24"/>
          <w:lang w:val="en-US"/>
        </w:rPr>
        <w:t>recognised in the 1960s</w:t>
      </w:r>
      <w:r w:rsidR="003234D2" w:rsidRPr="003234D2">
        <w:rPr>
          <w:rFonts w:ascii="Arial" w:hAnsi="Arial" w:cs="Arial"/>
          <w:sz w:val="24"/>
          <w:szCs w:val="24"/>
          <w:highlight w:val="yellow"/>
          <w:lang w:val="en-US"/>
        </w:rPr>
        <w:t>.</w:t>
      </w:r>
      <w:r w:rsidR="003234D2" w:rsidRPr="003234D2">
        <w:rPr>
          <w:rFonts w:ascii="Arial" w:hAnsi="Arial" w:cs="Arial"/>
          <w:sz w:val="24"/>
          <w:szCs w:val="24"/>
          <w:highlight w:val="yellow"/>
          <w:lang w:val="en-US"/>
        </w:rPr>
        <w:fldChar w:fldCharType="begin" w:fldLock="1"/>
      </w:r>
      <w:r w:rsidR="009E0BAE">
        <w:rPr>
          <w:rFonts w:ascii="Arial" w:hAnsi="Arial" w:cs="Arial"/>
          <w:sz w:val="24"/>
          <w:szCs w:val="24"/>
          <w:highlight w:val="yellow"/>
          <w:lang w:val="en-US"/>
        </w:rPr>
        <w:instrText>ADDIN CSL_CITATION { "citationItems" : [ { "id" : "ITEM-1", "itemData" : { "ISSN" : "0028-0836", "PMID" : "5319285", "author" : [ { "dropping-particle" : "", "family" : "Anderson", "given" : "E S", "non-dropping-particle" : "", "parse-names" : false, "suffix" : "" }, { "dropping-particle" : "", "family" : "Lewis", "given" : "M J", "non-dropping-particle" : "", "parse-names" : false, "suffix" : "" } ], "container-title" : "Nature", "id" : "ITEM-1", "issue" : "984", "issued" : { "date-parts" : [ [ "1965", "5", "8" ] ] }, "page" : "579-83", "title" : "Drug resistance and its transfer in Salmonella typhimurium.", "type" : "article-journal", "volume" : "206" }, "uris" : [ "http://www.mendeley.com/documents/?uuid=c10c6088-5a4a-4fb7-ae9f-8fcac5262e77" ] } ], "mendeley" : { "formattedCitation" : "&lt;sup&gt;59&lt;/sup&gt;", "plainTextFormattedCitation" : "59", "previouslyFormattedCitation" : "&lt;sup&gt;60&lt;/sup&gt;" }, "properties" : { "noteIndex" : 0 }, "schema" : "https://github.com/citation-style-language/schema/raw/master/csl-citation.json" }</w:instrText>
      </w:r>
      <w:r w:rsidR="003234D2" w:rsidRPr="003234D2">
        <w:rPr>
          <w:rFonts w:ascii="Arial" w:hAnsi="Arial" w:cs="Arial"/>
          <w:sz w:val="24"/>
          <w:szCs w:val="24"/>
          <w:highlight w:val="yellow"/>
          <w:lang w:val="en-US"/>
        </w:rPr>
        <w:fldChar w:fldCharType="separate"/>
      </w:r>
      <w:r w:rsidR="009E0BAE" w:rsidRPr="009E0BAE">
        <w:rPr>
          <w:rFonts w:ascii="Arial" w:hAnsi="Arial" w:cs="Arial"/>
          <w:noProof/>
          <w:sz w:val="24"/>
          <w:szCs w:val="24"/>
          <w:highlight w:val="yellow"/>
          <w:vertAlign w:val="superscript"/>
          <w:lang w:val="en-US"/>
        </w:rPr>
        <w:t>59</w:t>
      </w:r>
      <w:r w:rsidR="003234D2" w:rsidRPr="003234D2">
        <w:rPr>
          <w:rFonts w:ascii="Arial" w:hAnsi="Arial" w:cs="Arial"/>
          <w:sz w:val="24"/>
          <w:szCs w:val="24"/>
          <w:highlight w:val="yellow"/>
          <w:lang w:val="en-US"/>
        </w:rPr>
        <w:fldChar w:fldCharType="end"/>
      </w:r>
      <w:r w:rsidRPr="000767AE">
        <w:rPr>
          <w:rFonts w:ascii="Arial" w:hAnsi="Arial" w:cs="Arial"/>
          <w:sz w:val="24"/>
          <w:szCs w:val="24"/>
          <w:lang w:val="en-US"/>
        </w:rPr>
        <w:t xml:space="preserve"> </w:t>
      </w:r>
      <w:r w:rsidR="000965F9" w:rsidRPr="000767AE">
        <w:rPr>
          <w:rFonts w:ascii="Arial" w:hAnsi="Arial" w:cs="Arial"/>
          <w:sz w:val="24"/>
          <w:szCs w:val="24"/>
          <w:lang w:val="en-US"/>
        </w:rPr>
        <w:t xml:space="preserve">AMR that arises in animal husbandry is now well established and affects zoonotic pathogens such as </w:t>
      </w:r>
      <w:r w:rsidR="000965F9" w:rsidRPr="000767AE">
        <w:rPr>
          <w:rFonts w:ascii="Arial" w:hAnsi="Arial" w:cs="Arial"/>
          <w:i/>
          <w:sz w:val="24"/>
          <w:szCs w:val="24"/>
          <w:lang w:val="en-US"/>
        </w:rPr>
        <w:t>Salmonella</w:t>
      </w:r>
      <w:r w:rsidR="000965F9" w:rsidRPr="000767AE">
        <w:rPr>
          <w:rFonts w:ascii="Arial" w:hAnsi="Arial" w:cs="Arial"/>
          <w:sz w:val="24"/>
          <w:szCs w:val="24"/>
          <w:lang w:val="en-US"/>
        </w:rPr>
        <w:t xml:space="preserve"> serovars</w:t>
      </w:r>
      <w:r w:rsidR="000965F9"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"10.1111/j.1439-0450.2004.00788.x", "ISSN" : "0931-1793", "PMID" : "15525367", "abstract" : "The paper reviews the lines of evidence which link the use of antimicrobial drugs for food animals with the emergence of antimicrobial drug resistance in bacteria pathogenic to humans, with a particular focus on the public health aspects. Deductions from the epidemiology of food-borne infections, ecological studies, outbreak investigations, typing studies and direct epidemiological observations show that resistant bacteria are transferred from food animals to man. In addition to transfer in the food chain, exchange of mobile genetic elements among commensal and pathogenic bacteria contributes to the emergence of drug resistance. There is growing evidence that this has measurable consequences for human public health. One consequence is increased transmission supported by unrelated use of anti-microbials in humans. Other consequences are related to reduced efficacy of early empirical treatment, limitations in the choices for treatment after confirmed microbiological diagnosis, and finally a possible coselection of virulence traits. Recent epidemiological studies have measured these consequences in terms of excess mortality associated with resistance, increased duration of illness, and increased risk of invasive illness or hospitalization following infections with resistant Salmonella.", "author" : [ { "dropping-particle" : "", "family" : "M\u00f8lbak", "given" : "K", "non-dropping-particle" : "", "parse-names" : false, "suffix" : "" } ], "container-title" : "Journal of Veterinary Medicine. B, Infectious Diseases and Veterinary Public Health", "id" : "ITEM-1", "issue" : "8-9", "issued" : { "date-parts" : [ [ "2004" ] ] }, "page" : "364-9", "title" : "Spread of resistant bacteria and resistance genes from animals to humans--the public health consequences.", "type" : "article-journal", "volume" : "51" }, "uris" : [ "http://www.mendeley.com/documents/?uuid=c556683f-3b53-4ed5-a1c4-dd66fca0fd0e" ] } ], "mendeley" : { "formattedCitation" : "&lt;sup&gt;60&lt;/sup&gt;", "plainTextFormattedCitation" : "60", "previouslyFormattedCitation" : "&lt;sup&gt;61&lt;/sup&gt;" }, "properties" : { "noteIndex" : 0 }, "schema" : "https://github.com/citation-style-language/schema/raw/master/csl-citation.json" }</w:instrText>
      </w:r>
      <w:r w:rsidR="000965F9"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60</w:t>
      </w:r>
      <w:r w:rsidR="000965F9" w:rsidRPr="000767AE">
        <w:rPr>
          <w:rFonts w:ascii="Arial" w:hAnsi="Arial" w:cs="Arial"/>
          <w:sz w:val="24"/>
          <w:szCs w:val="24"/>
          <w:lang w:val="en-US"/>
        </w:rPr>
        <w:fldChar w:fldCharType="end"/>
      </w:r>
      <w:r w:rsidR="000965F9" w:rsidRPr="000767AE">
        <w:rPr>
          <w:rFonts w:ascii="Arial" w:hAnsi="Arial" w:cs="Arial"/>
          <w:sz w:val="24"/>
          <w:szCs w:val="24"/>
          <w:lang w:val="en-US"/>
        </w:rPr>
        <w:t xml:space="preserve"> and </w:t>
      </w:r>
      <w:r w:rsidR="000965F9" w:rsidRPr="000767AE">
        <w:rPr>
          <w:rFonts w:ascii="Arial" w:hAnsi="Arial" w:cs="Arial"/>
          <w:i/>
          <w:sz w:val="24"/>
          <w:szCs w:val="24"/>
          <w:lang w:val="en-US"/>
        </w:rPr>
        <w:t xml:space="preserve">Campylobacter </w:t>
      </w:r>
      <w:r w:rsidR="000965F9" w:rsidRPr="000767AE">
        <w:rPr>
          <w:rFonts w:ascii="Arial" w:hAnsi="Arial" w:cs="Arial"/>
          <w:sz w:val="24"/>
          <w:szCs w:val="24"/>
          <w:lang w:val="en-US"/>
        </w:rPr>
        <w:t>spp;</w:t>
      </w:r>
      <w:r w:rsidR="000965F9"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"10.1128/AAC.49.2.690", "author" : [ { "dropping-particle" : "", "family" : "Humphrey", "given" : "Tom J", "non-dropping-particle" : "", "parse-names" : false, "suffix" : "" }, { "dropping-particle" : "", "family" : "J\u00f8rgensen", "given" : "Frieda", "non-dropping-particle" : "", "parse-names" : false, "suffix" : "" }, { "dropping-particle" : "", "family" : "Frost", "given" : "Jennifer A", "non-dropping-particle" : "", "parse-names" : false, "suffix" : "" }, { "dropping-particle" : "", "family" : "Wadda", "given" : "Haddy", "non-dropping-particle" : "", "parse-names" : false, "suffix" : "" }, { "dropping-particle" : "", "family" : "Domingue", "given" : "Gil", "non-dropping-particle" : "", "parse-names" : false, "suffix" : "" }, { "dropping-particle" : "", "family" : "Elviss", "given" : "Nicola C", "non-dropping-particle" : "", "parse-names" : false, "suffix" : "" }, { "dropping-particle" : "", "family" : "Griggs", "given" : "Deborah J", "non-dropping-particle" : "", "parse-names" : false, "suffix" : "" }, { "dropping-particle" : "V", "family" : "Piddock", "given" : "Laura J", "non-dropping-particle" : "", "parse-names" : false, "suffix" : "" } ], "container-title" : "Antimicrobial Agents and Chemotherapy", "id" : "ITEM-1", "issue" : "2", "issued" : { "date-parts" : [ [ "2005" ] ] }, "page" : "690-698", "title" : "Prevalence and Subtypes of Ciprofloxacin-Resistant Campylobacter spp. in Commercial Poultry Flocks before, during, and after Treatment with Fluoroquinolones", "type" : "article-journal", "volume" : "49" }, "uris" : [ "http://www.mendeley.com/documents/?uuid=781a5e04-b85f-4289-97d8-76de79a81cc3" ] } ], "mendeley" : { "formattedCitation" : "&lt;sup&gt;61&lt;/sup&gt;", "plainTextFormattedCitation" : "61", "previouslyFormattedCitation" : "&lt;sup&gt;62&lt;/sup&gt;" }, "properties" : { "noteIndex" : 0 }, "schema" : "https://github.com/citation-style-language/schema/raw/master/csl-citation.json" }</w:instrText>
      </w:r>
      <w:r w:rsidR="000965F9"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61</w:t>
      </w:r>
      <w:r w:rsidR="000965F9" w:rsidRPr="000767AE">
        <w:rPr>
          <w:rFonts w:ascii="Arial" w:hAnsi="Arial" w:cs="Arial"/>
          <w:sz w:val="24"/>
          <w:szCs w:val="24"/>
          <w:lang w:val="en-US"/>
        </w:rPr>
        <w:fldChar w:fldCharType="end"/>
      </w:r>
      <w:r w:rsidR="000965F9" w:rsidRPr="000767AE">
        <w:rPr>
          <w:rFonts w:ascii="Arial" w:hAnsi="Arial" w:cs="Arial"/>
          <w:sz w:val="24"/>
          <w:szCs w:val="24"/>
          <w:lang w:val="en-US"/>
        </w:rPr>
        <w:t xml:space="preserve"> </w:t>
      </w:r>
      <w:r w:rsidR="000965F9" w:rsidRPr="000767AE">
        <w:rPr>
          <w:rFonts w:ascii="Arial" w:hAnsi="Arial"/>
          <w:sz w:val="24"/>
          <w:lang w:val="en-US"/>
        </w:rPr>
        <w:t>the mechanisms of resistance are indistinguishable in bacteria isolated from animals or humans.</w:t>
      </w:r>
      <w:r w:rsidR="000965F9" w:rsidRPr="000767AE">
        <w:rPr>
          <w:rFonts w:ascii="Arial" w:hAnsi="Arial" w:cs="Arial"/>
          <w:sz w:val="24"/>
          <w:szCs w:val="24"/>
          <w:lang w:val="en-US"/>
        </w:rPr>
        <w:t xml:space="preserve"> Bacteria, and mobile genetic elements conferring resistance, linger on animal skin and in faeces and by a variety of means can make their way to humans, and between bacteria, respectively.</w:t>
      </w:r>
      <w:r w:rsidR="000965F9"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"ISSN" : "0099-2240", "PMID" : "11865872", "abstract" : "Plasmids harboring multiple antimicrobial-resistance determinants (R plasmids) were transferred in simulated natural microenvironments from various bacterial pathogens of human, animal, or fish origin to susceptible strains isolated from a different ecological niche. R plasmids in a strain of the human pathogen Vibrio cholerae O1 E1 Tor and a bovine Escherichia coli strain were conjugated to a susceptible strain of the fish pathogenic bacterium Aeromonas salmonicida subsp. salmonicida in marine water. Conjugations of R plasmids between a resistant bovine pathogenic E. coli strain and a susceptible E. coli strain of human origin were performed on a hand towel contaminated with milk from a cow with mastitis. A similar conjugation event between a resistant porcine pathogenic E. coli strain of human origin was studied in minced meat on a cutting board. Conjugation of R plasmids between a resistant strain of the fish pathogenic bacterium A. salmonicida subsp. salmonicida and a susceptible E. coli strain of human origin was performed in raw salmon on a cutting board. R plasmids in a strain of A. salmonicida subsp. salmonicida and a human pathogenic E. coli strain were conjugated to a susceptible porcine E. coli strain in porcine feces. Transfer of the different R plasmids was confirmed by plasmid profile analyses and determination of the resistance pattern of the transconjugants. The different R plasmids were transferred equally well under simulated natural conditions and under controlled laboratory conditions, with median conjugation frequencies ranging from 3 x 10(-6) to 8 x 10(-3). The present study demonstrates that conjugation and transfer of R plasmids is a phenomenon that belongs to the environment and can occur between bacterial strains of human, animal, and fish origins that are unrelated either evolutionarily or ecologically even in the absence of antibiotics. Consequently, the contamination of the environment with bacterial pathogens resistant to antimicrobial agents is a real threat not only as a source of disease but also as a source from which R plasmids can easily spread to other pathogens of diverse origins.", "author" : [ { "dropping-particle" : "", "family" : "Kruse", "given" : "H", "non-dropping-particle" : "", "parse-names" : false, "suffix" : "" }, { "dropping-particle" : "", "family" : "S\u00f8rum", "given" : "H", "non-dropping-particle" : "", "parse-names" : false, "suffix" : "" } ], "container-title" : "Applied and Environmental Microbiology", "id" : "ITEM-1", "issue" : "11", "issued" : { "date-parts" : [ [ "1994", "11" ] ] }, "page" : "4015-21", "title" : "Transfer of multiple drug resistance plasmids between bacteria of diverse origins in natural microenvironments.", "type" : "article-journal", "volume" : "60" }, "uris" : [ "http://www.mendeley.com/documents/?uuid=265fca6b-1b80-4b67-8afa-e3ced5c40029" ] } ], "mendeley" : { "formattedCitation" : "&lt;sup&gt;62&lt;/sup&gt;", "plainTextFormattedCitation" : "62", "previouslyFormattedCitation" : "&lt;sup&gt;63&lt;/sup&gt;" }, "properties" : { "noteIndex" : 0 }, "schema" : "https://github.com/citation-style-language/schema/raw/master/csl-citation.json" }</w:instrText>
      </w:r>
      <w:r w:rsidR="000965F9"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62</w:t>
      </w:r>
      <w:r w:rsidR="000965F9" w:rsidRPr="000767AE">
        <w:rPr>
          <w:rFonts w:ascii="Arial" w:hAnsi="Arial" w:cs="Arial"/>
          <w:sz w:val="24"/>
          <w:szCs w:val="24"/>
          <w:lang w:val="en-US"/>
        </w:rPr>
        <w:fldChar w:fldCharType="end"/>
      </w:r>
      <w:r w:rsidR="000965F9" w:rsidRPr="000767AE">
        <w:rPr>
          <w:rFonts w:ascii="Arial" w:hAnsi="Arial" w:cs="Arial"/>
          <w:sz w:val="24"/>
          <w:szCs w:val="24"/>
          <w:lang w:val="en-US"/>
        </w:rPr>
        <w:t xml:space="preserve"> </w:t>
      </w:r>
      <w:r w:rsidRPr="000767AE">
        <w:rPr>
          <w:rFonts w:ascii="Arial" w:hAnsi="Arial" w:cs="Arial"/>
          <w:sz w:val="24"/>
          <w:szCs w:val="24"/>
          <w:lang w:val="en-US"/>
        </w:rPr>
        <w:t xml:space="preserve">Despite the subsequent accumulation of </w:t>
      </w:r>
      <w:r w:rsidR="000965F9" w:rsidRPr="000767AE">
        <w:rPr>
          <w:rFonts w:ascii="Arial" w:hAnsi="Arial" w:cs="Arial"/>
          <w:sz w:val="24"/>
          <w:szCs w:val="24"/>
          <w:lang w:val="en-US"/>
        </w:rPr>
        <w:t>this</w:t>
      </w:r>
      <w:r w:rsidR="004E5208" w:rsidRPr="000767AE">
        <w:rPr>
          <w:rFonts w:ascii="Arial" w:hAnsi="Arial" w:cs="Arial"/>
          <w:sz w:val="24"/>
          <w:szCs w:val="24"/>
          <w:lang w:val="en-US"/>
        </w:rPr>
        <w:t xml:space="preserve"> and other</w:t>
      </w:r>
      <w:r w:rsidRPr="000767AE">
        <w:rPr>
          <w:rFonts w:ascii="Arial" w:hAnsi="Arial" w:cs="Arial"/>
          <w:sz w:val="24"/>
          <w:szCs w:val="24"/>
          <w:lang w:val="en-US"/>
        </w:rPr>
        <w:t xml:space="preserve"> evidence, </w:t>
      </w:r>
      <w:r w:rsidR="00A4740E" w:rsidRPr="000767AE">
        <w:rPr>
          <w:rFonts w:ascii="Arial" w:hAnsi="Arial" w:cs="Arial"/>
          <w:sz w:val="24"/>
          <w:szCs w:val="24"/>
          <w:lang w:val="en-US"/>
        </w:rPr>
        <w:t xml:space="preserve">and the publication of </w:t>
      </w:r>
      <w:r w:rsidR="00637228" w:rsidRPr="000767AE">
        <w:rPr>
          <w:rFonts w:ascii="Arial" w:hAnsi="Arial" w:cs="Arial"/>
          <w:sz w:val="24"/>
          <w:szCs w:val="24"/>
          <w:lang w:val="en-US"/>
        </w:rPr>
        <w:t xml:space="preserve">the seminal Swann </w:t>
      </w:r>
      <w:r w:rsidR="00FC5018" w:rsidRPr="000767AE">
        <w:rPr>
          <w:rFonts w:ascii="Arial" w:hAnsi="Arial" w:cs="Arial"/>
          <w:sz w:val="24"/>
          <w:szCs w:val="24"/>
          <w:lang w:val="en-US"/>
        </w:rPr>
        <w:t xml:space="preserve">report </w:t>
      </w:r>
      <w:r w:rsidR="00A4740E" w:rsidRPr="000767AE">
        <w:rPr>
          <w:rFonts w:ascii="Arial" w:hAnsi="Arial" w:cs="Arial"/>
          <w:sz w:val="24"/>
          <w:szCs w:val="24"/>
          <w:lang w:val="en-US"/>
        </w:rPr>
        <w:t xml:space="preserve">on this issue </w:t>
      </w:r>
      <w:r w:rsidR="00B41D1B" w:rsidRPr="000767AE">
        <w:rPr>
          <w:rFonts w:ascii="Arial" w:hAnsi="Arial" w:cs="Arial"/>
          <w:sz w:val="24"/>
          <w:szCs w:val="24"/>
          <w:lang w:val="en-US"/>
        </w:rPr>
        <w:t>over 40 years ago</w:t>
      </w:r>
      <w:r w:rsidR="006F71B3">
        <w:rPr>
          <w:rFonts w:ascii="Arial" w:hAnsi="Arial" w:cs="Arial"/>
          <w:sz w:val="24"/>
          <w:szCs w:val="24"/>
          <w:lang w:val="en-US"/>
        </w:rPr>
        <w:t>,</w:t>
      </w:r>
      <w:r w:rsidR="006F71B3">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"10.1016/S0140-6736(05)17920-3", "ISSN" : "1474-547X", "PMID" : "15708081", "author" : [ { "dropping-particle" : "", "family" : "Turnidge", "given" : "John", "non-dropping-particle" : "", "parse-names" : false, "suffix" : "" }, { "dropping-particle" : "", "family" : "Christiansen", "given" : "Keryn", "non-dropping-particle" : "", "parse-names" : false, "suffix" : "" } ], "container-title" : "Lancet", "id" : "ITEM-1", "issue" : "9459", "issued" : { "date-parts" : [ [ "2005" ] ] }, "page" : "548-9", "title" : "Antibiotic use and resistance--proving the obvious.", "type" : "article-journal", "volume" : "365" }, "uris" : [ "http://www.mendeley.com/documents/?uuid=7b2d52dc-e7bb-4435-82af-ffc26e070b70" ] }, { "id" : "ITEM-2", "itemData" : { "author" : [ { "dropping-particle" : "", "family" : "Swann", "given" : "MM", "non-dropping-particle" : "", "parse-names" : false, "suffix" : "" } ], "id" : "ITEM-2", "issued" : { "date-parts" : [ [ "1969" ] ] }, "publisher-place" : "London", "title" : "Report of the joint committee on the use of antibiotics in animal husbandry and veterinary medicine.", "type" : "report" }, "uris" : [ "http://www.mendeley.com/documents/?uuid=823fa724-d090-44db-ba91-816a7e3b41a1" ] } ], "mendeley" : { "formattedCitation" : "&lt;sup&gt;30,63&lt;/sup&gt;", "plainTextFormattedCitation" : "30,63", "previouslyFormattedCitation" : "&lt;sup&gt;31,64&lt;/sup&gt;" }, "properties" : { "noteIndex" : 0 }, "schema" : "https://github.com/citation-style-language/schema/raw/master/csl-citation.json" }</w:instrText>
      </w:r>
      <w:r w:rsidR="006F71B3">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30,63</w:t>
      </w:r>
      <w:r w:rsidR="006F71B3">
        <w:rPr>
          <w:rFonts w:ascii="Arial" w:hAnsi="Arial" w:cs="Arial"/>
          <w:sz w:val="24"/>
          <w:szCs w:val="24"/>
          <w:lang w:val="en-US"/>
        </w:rPr>
        <w:fldChar w:fldCharType="end"/>
      </w:r>
      <w:r w:rsidRPr="000767AE">
        <w:rPr>
          <w:rFonts w:ascii="Arial" w:hAnsi="Arial" w:cs="Arial"/>
          <w:sz w:val="24"/>
          <w:szCs w:val="24"/>
          <w:lang w:val="en-US"/>
        </w:rPr>
        <w:t xml:space="preserve"> </w:t>
      </w:r>
      <w:r w:rsidR="00452D53" w:rsidRPr="000767AE">
        <w:rPr>
          <w:rFonts w:ascii="Arial" w:hAnsi="Arial" w:cs="Arial"/>
          <w:sz w:val="24"/>
          <w:szCs w:val="24"/>
          <w:lang w:val="en-US"/>
        </w:rPr>
        <w:t>a European ban on the use of antimicrobials for growth promotion in livestock did not occur until 2006</w:t>
      </w:r>
      <w:r w:rsidR="00570918" w:rsidRPr="000767AE">
        <w:rPr>
          <w:rFonts w:ascii="Arial" w:hAnsi="Arial" w:cs="Arial"/>
          <w:sz w:val="24"/>
          <w:szCs w:val="24"/>
          <w:lang w:val="en-US"/>
        </w:rPr>
        <w:t>,</w:t>
      </w:r>
      <w:r w:rsidR="00452D53" w:rsidRPr="000767AE">
        <w:rPr>
          <w:rFonts w:ascii="Arial" w:hAnsi="Arial" w:cs="Arial"/>
          <w:sz w:val="24"/>
          <w:szCs w:val="24"/>
          <w:lang w:val="en-US"/>
        </w:rPr>
        <w:t xml:space="preserve"> and </w:t>
      </w:r>
      <w:r w:rsidRPr="000767AE">
        <w:rPr>
          <w:rFonts w:ascii="Arial" w:hAnsi="Arial"/>
          <w:sz w:val="24"/>
          <w:lang w:val="en-US"/>
        </w:rPr>
        <w:t>outside the EU</w:t>
      </w:r>
      <w:r w:rsidR="00452D53" w:rsidRPr="000767AE">
        <w:rPr>
          <w:rFonts w:ascii="Arial" w:hAnsi="Arial"/>
          <w:sz w:val="24"/>
          <w:lang w:val="en-US"/>
        </w:rPr>
        <w:t xml:space="preserve"> such use still occurs widely</w:t>
      </w:r>
      <w:r w:rsidRPr="000767AE">
        <w:rPr>
          <w:rFonts w:ascii="Arial" w:hAnsi="Arial"/>
          <w:sz w:val="24"/>
          <w:lang w:val="en-US"/>
        </w:rPr>
        <w:t xml:space="preserve"> including in the USA</w:t>
      </w:r>
      <w:r w:rsidR="00B41D1B" w:rsidRPr="000767AE">
        <w:rPr>
          <w:rFonts w:ascii="Arial" w:hAnsi="Arial"/>
          <w:sz w:val="24"/>
          <w:lang w:val="en-US"/>
        </w:rPr>
        <w:t>. The impact on patterns of resistance from changing use of antimicrobials in animal healthcare continues to be well described</w:t>
      </w:r>
      <w:r w:rsidRPr="006F71B3">
        <w:rPr>
          <w:rFonts w:ascii="Arial" w:hAnsi="Arial"/>
          <w:sz w:val="24"/>
          <w:highlight w:val="yellow"/>
          <w:lang w:val="en-US"/>
        </w:rPr>
        <w:t>.</w:t>
      </w:r>
      <w:r w:rsidR="00FE1E56">
        <w:rPr>
          <w:rFonts w:ascii="Arial" w:hAnsi="Arial"/>
          <w:sz w:val="24"/>
          <w:highlight w:val="yellow"/>
          <w:lang w:val="en-US"/>
        </w:rPr>
        <w:fldChar w:fldCharType="begin" w:fldLock="1"/>
      </w:r>
      <w:r w:rsidR="009E0BAE">
        <w:rPr>
          <w:rFonts w:ascii="Arial" w:hAnsi="Arial"/>
          <w:sz w:val="24"/>
          <w:highlight w:val="yellow"/>
          <w:lang w:val="en-US"/>
        </w:rPr>
        <w:instrText>ADDIN CSL_CITATION { "citationItems" : [ { "id" : "ITEM-1", "itemData" : { "author" : [ { "dropping-particle" : "", "family" : "Laxminarayan", "given" : "Ramanan", "non-dropping-particle" : "", "parse-names" : false, "suffix" : "" }, { "dropping-particle" : "", "family" : "Duse", "given" : "Adriano", "non-dropping-particle" : "", "parse-names" : false, "suffix" : "" }, { "dropping-particle" : "", "family" : "Wattal", "given" : "Chand", "non-dropping-particle" : "", "parse-names" : false, "suffix" : "" }, { "dropping-particle" : "", "family" : "Zaidi", "given" : "Anita K M", "non-dropping-particle" : "", "parse-names" : false, "suffix" : "" }, { "dropping-particle" : "", "family" : "Wertheim", "given" : "Heiman F L", "non-dropping-particle" : "", "parse-names" : false, "suffix" : "" }, { "dropping-particle" : "", "family" : "Sumpradit", "given" : "Nithima", "non-dropping-particle" : "", "parse-names" : false, "suffix" : "" }, { "dropping-particle" : "", "family" : "Vlieghe", "given" : "Erika", "non-dropping-particle" : "", "parse-names" : false, "suffix" : "" }, { "dropping-particle" : "", "family" : "Hara", "given" : "Gabriel Levy", "non-dropping-particle" : "", "parse-names" : false, "suffix" : "" }, { "dropping-particle" : "", "family" : "Gould", "given" : "Ian M", "non-dropping-particle" : "", "parse-names" : false, "suffix" : "" }, { "dropping-particle" : "", "family" : "Goossens", "given" : "Herman", "non-dropping-particle" : "", "parse-names" : false, "suffix" : "" }, { "dropping-particle" : "", "family" : "Greko", "given" : "Christina", "non-dropping-particle" : "", "parse-names" : false, "suffix" : "" }, { "dropping-particle" : "", "family" : "So", "given" : "Anthony D", "non-dropping-particle" : "", "parse-names" : false, "suffix" : "" }, { "dropping-particle" : "", "family" : "Bigdeli", "given" : "Maryam", "non-dropping-particle" : "", "parse-names" : false, "suffix" : "" }, { "dropping-particle" : "", "family" : "Tomson", "given" : "G\u00f6ran", "non-dropping-particle" : "", "parse-names" : false, "suffix" : "" }, { "dropping-particle" : "", "family" : "Woodhouse", "given" : "Will", "non-dropping-particle" : "", "parse-names" : false, "suffix" : "" }, { "dropping-particle" : "", "family" : "Ombaka", "given" : "Eva", "non-dropping-particle" : "", "parse-names" : false, "suffix" : "" }, { "dropping-particle" : "", "family" : "Peralta", "given" : "Arturo Quizhpe", "non-dropping-particle" : "", "parse-names" : false, "suffix" : "" }, { "dropping-particle" : "", "family" : "Qamar", "given" : "Farah Naz", "non-dropping-particle" : "", "parse-names" : false, "suffix" : "" }, { "dropping-particle" : "", "family" : "Mir", "given" : "Fatima", "non-dropping-particle" : "", "parse-names" : false, "suffix" : "" }, { "dropping-particle" : "", "family" : "Kariuki", "given" : "Sam", "non-dropping-particle" : "", "parse-names" : false, "suffix" : "" }, { "dropping-particle" : "", "family" : "Bhutta", "given" : "Zulfiqar A", "non-dropping-particle" : "", "parse-names" : false, "suffix" : "" }, { "dropping-particle" : "", "family" : "Coates", "given" : "Anthony", "non-dropping-particle" : "", "parse-names" : false, "suffix" : "" }, { "dropping-particle" : "", "family" : "Bergstrom", "given" : "Richard", "non-dropping-particle" : "", "parse-names" : false, "suffix" : "" }, { "dropping-particle" : "", "family" : "Wright", "given" : "Gerard D", "non-dropping-particle" : "", "parse-names" : false, "suffix" : "" }, { "dropping-particle" : "", "family" : "Brown", "given" : "Eric D", "non-dropping-particle" : "", "parse-names" : false, "suffix" : "" }, { "dropping-particle" : "", "family" : "Cars", "given" : "Otto", "non-dropping-particle" : "", "parse-names" : false, "suffix" : "" } ], "container-title" : "Lancet Infectious Diseases", "id" : "ITEM-1", "issue" : "12", "issued" : { "date-parts" : [ [ "2013" ] ] }, "page" : "1057-98", "title" : "Antibiotic resistance-the need for global solutions.", "type" : "article-journal", "volume" : "13" }, "uris" : [ "http://www.mendeley.com/documents/?uuid=3ca22af9-bb87-4e1f-9ff0-97f74a412440" ] }, { "id" : "ITEM-2", "itemData" : { "author" : [ { "dropping-particle" : "", "family" : "World Health Organization", "given" : "", "non-dropping-particle" : "", "parse-names" : false, "suffix" : "" } ], "container-title" : "2012", "id" : "ITEM-2", "issued" : { "date-parts" : [ [ "2012" ] ] }, "publisher-place" : "Geneva", "title" : "The evolving threat of antimicrobial resistance: Options for action", "type" : "report" }, "uris" : [ "http://www.mendeley.com/documents/?uuid=d7dc2532-070a-4f17-a252-61a578e46efa" ] } ], "mendeley" : { "formattedCitation" : "&lt;sup&gt;21,22&lt;/sup&gt;", "plainTextFormattedCitation" : "21,22", "previouslyFormattedCitation" : "&lt;sup&gt;22,23&lt;/sup&gt;" }, "properties" : { "noteIndex" : 0 }, "schema" : "https://github.com/citation-style-language/schema/raw/master/csl-citation.json" }</w:instrText>
      </w:r>
      <w:r w:rsidR="00FE1E56">
        <w:rPr>
          <w:rFonts w:ascii="Arial" w:hAnsi="Arial"/>
          <w:sz w:val="24"/>
          <w:highlight w:val="yellow"/>
          <w:lang w:val="en-US"/>
        </w:rPr>
        <w:fldChar w:fldCharType="separate"/>
      </w:r>
      <w:r w:rsidR="009E0BAE" w:rsidRPr="009E0BAE">
        <w:rPr>
          <w:rFonts w:ascii="Arial" w:hAnsi="Arial"/>
          <w:noProof/>
          <w:sz w:val="24"/>
          <w:highlight w:val="yellow"/>
          <w:vertAlign w:val="superscript"/>
          <w:lang w:val="en-US"/>
        </w:rPr>
        <w:t>21,22</w:t>
      </w:r>
      <w:r w:rsidR="00FE1E56">
        <w:rPr>
          <w:rFonts w:ascii="Arial" w:hAnsi="Arial"/>
          <w:sz w:val="24"/>
          <w:highlight w:val="yellow"/>
          <w:lang w:val="en-US"/>
        </w:rPr>
        <w:fldChar w:fldCharType="end"/>
      </w:r>
      <w:r w:rsidR="006F71B3" w:rsidRPr="000767AE">
        <w:rPr>
          <w:rFonts w:ascii="Arial" w:hAnsi="Arial" w:cs="Arial"/>
          <w:sz w:val="24"/>
          <w:szCs w:val="24"/>
          <w:lang w:val="en-US"/>
        </w:rPr>
        <w:t xml:space="preserve"> </w:t>
      </w:r>
    </w:p>
    <w:p w14:paraId="663DA55B" w14:textId="77777777" w:rsidR="00A053CE" w:rsidRPr="000767AE" w:rsidRDefault="00A053CE" w:rsidP="00A053CE">
      <w:pPr>
        <w:rPr>
          <w:rFonts w:ascii="Arial" w:hAnsi="Arial" w:cs="Arial"/>
          <w:sz w:val="24"/>
          <w:szCs w:val="24"/>
          <w:lang w:val="en-US"/>
        </w:rPr>
      </w:pPr>
    </w:p>
    <w:p w14:paraId="65FD8A71" w14:textId="37DAA17D" w:rsidR="00A053CE" w:rsidRPr="000767AE" w:rsidRDefault="000965F9" w:rsidP="00A053CE">
      <w:pPr>
        <w:rPr>
          <w:rFonts w:ascii="Arial" w:hAnsi="Arial" w:cs="Arial"/>
          <w:sz w:val="24"/>
          <w:szCs w:val="24"/>
        </w:rPr>
      </w:pPr>
      <w:r w:rsidRPr="000767AE">
        <w:rPr>
          <w:rFonts w:ascii="Arial" w:hAnsi="Arial" w:cs="Arial"/>
          <w:sz w:val="24"/>
          <w:szCs w:val="24"/>
          <w:lang w:val="en-US"/>
        </w:rPr>
        <w:lastRenderedPageBreak/>
        <w:t xml:space="preserve">This interweaving of </w:t>
      </w:r>
      <w:r w:rsidR="00A053CE" w:rsidRPr="000767AE">
        <w:rPr>
          <w:rFonts w:ascii="Arial" w:hAnsi="Arial" w:cs="Arial"/>
          <w:sz w:val="24"/>
          <w:szCs w:val="24"/>
          <w:lang w:val="en-US"/>
        </w:rPr>
        <w:t>animal and human microbial ecosystems</w:t>
      </w:r>
      <w:r w:rsidRPr="000767AE">
        <w:rPr>
          <w:rFonts w:ascii="Arial" w:hAnsi="Arial" w:cs="Arial"/>
          <w:sz w:val="24"/>
          <w:szCs w:val="24"/>
          <w:lang w:val="en-US"/>
        </w:rPr>
        <w:t xml:space="preserve"> extends to </w:t>
      </w:r>
      <w:r w:rsidR="00F807BE" w:rsidRPr="000767AE">
        <w:rPr>
          <w:rFonts w:ascii="Arial" w:hAnsi="Arial" w:cs="Arial"/>
          <w:sz w:val="24"/>
          <w:szCs w:val="24"/>
          <w:lang w:val="en-US"/>
        </w:rPr>
        <w:t>both commensals and opportunistic pathogens</w:t>
      </w:r>
      <w:r w:rsidR="00A053CE" w:rsidRPr="000767AE">
        <w:rPr>
          <w:rFonts w:ascii="Arial" w:hAnsi="Arial" w:cs="Arial"/>
          <w:sz w:val="24"/>
          <w:szCs w:val="24"/>
          <w:lang w:val="en-US"/>
        </w:rPr>
        <w:t>; includ</w:t>
      </w:r>
      <w:r w:rsidRPr="000767AE">
        <w:rPr>
          <w:rFonts w:ascii="Arial" w:hAnsi="Arial" w:cs="Arial"/>
          <w:sz w:val="24"/>
          <w:szCs w:val="24"/>
          <w:lang w:val="en-US"/>
        </w:rPr>
        <w:t>ing</w:t>
      </w:r>
      <w:r w:rsidR="00A053CE" w:rsidRPr="000767AE">
        <w:rPr>
          <w:rFonts w:ascii="Arial" w:hAnsi="Arial" w:cs="Arial"/>
          <w:sz w:val="24"/>
          <w:szCs w:val="24"/>
          <w:lang w:val="en-US"/>
        </w:rPr>
        <w:t xml:space="preserve"> species such as </w:t>
      </w:r>
      <w:r w:rsidR="004E5208" w:rsidRPr="000767AE">
        <w:rPr>
          <w:rFonts w:ascii="Arial" w:hAnsi="Arial" w:cs="Arial"/>
          <w:i/>
          <w:sz w:val="24"/>
          <w:szCs w:val="24"/>
          <w:lang w:val="en-US"/>
        </w:rPr>
        <w:t xml:space="preserve">E. </w:t>
      </w:r>
      <w:r w:rsidR="00A053CE" w:rsidRPr="000767AE">
        <w:rPr>
          <w:rFonts w:ascii="Arial" w:hAnsi="Arial" w:cs="Arial"/>
          <w:i/>
          <w:sz w:val="24"/>
          <w:szCs w:val="24"/>
          <w:lang w:val="en-US"/>
        </w:rPr>
        <w:t>coli</w:t>
      </w:r>
      <w:r w:rsidR="00A053CE" w:rsidRPr="000767AE">
        <w:rPr>
          <w:rFonts w:ascii="Arial" w:hAnsi="Arial" w:cs="Arial"/>
          <w:sz w:val="24"/>
          <w:szCs w:val="24"/>
          <w:lang w:val="en-US"/>
        </w:rPr>
        <w:t xml:space="preserve">, enterococci and </w:t>
      </w:r>
      <w:r w:rsidR="00A053CE" w:rsidRPr="000767AE">
        <w:rPr>
          <w:rFonts w:ascii="Arial" w:hAnsi="Arial" w:cs="Arial"/>
          <w:i/>
          <w:sz w:val="24"/>
          <w:szCs w:val="24"/>
          <w:lang w:val="en-US"/>
        </w:rPr>
        <w:t>Staphylococcus aureus</w:t>
      </w:r>
      <w:r w:rsidR="00A053CE" w:rsidRPr="000767AE">
        <w:rPr>
          <w:rFonts w:ascii="Arial" w:hAnsi="Arial" w:cs="Arial"/>
          <w:sz w:val="24"/>
          <w:szCs w:val="24"/>
          <w:lang w:val="en-US"/>
        </w:rPr>
        <w:t>.</w:t>
      </w:r>
      <w:r w:rsidR="00A053CE" w:rsidRPr="000767AE" w:rsidDel="009F3672">
        <w:rPr>
          <w:rFonts w:ascii="Arial" w:hAnsi="Arial" w:cs="Arial"/>
          <w:sz w:val="24"/>
          <w:szCs w:val="24"/>
          <w:lang w:val="en-US"/>
        </w:rPr>
        <w:t xml:space="preserve"> </w:t>
      </w:r>
      <w:r w:rsidR="00A053CE" w:rsidRPr="000767AE">
        <w:rPr>
          <w:rFonts w:ascii="Arial" w:hAnsi="Arial" w:cs="Arial"/>
          <w:sz w:val="24"/>
          <w:szCs w:val="24"/>
          <w:lang w:val="en-US"/>
        </w:rPr>
        <w:t>Evidence supporting transmission from livestock to humans of ES</w:t>
      </w:r>
      <w:r w:rsidR="003C0F15" w:rsidRPr="000767AE">
        <w:rPr>
          <w:rFonts w:ascii="Arial" w:hAnsi="Arial" w:cs="Arial"/>
          <w:sz w:val="24"/>
          <w:szCs w:val="24"/>
        </w:rPr>
        <w:t>β</w:t>
      </w:r>
      <w:r w:rsidR="00A053CE" w:rsidRPr="000767AE">
        <w:rPr>
          <w:rFonts w:ascii="Arial" w:hAnsi="Arial" w:cs="Arial"/>
          <w:sz w:val="24"/>
          <w:szCs w:val="24"/>
          <w:lang w:val="en-US"/>
        </w:rPr>
        <w:t xml:space="preserve">L and AmpC-β-lactamase genes on plasmids, and of </w:t>
      </w:r>
      <w:r w:rsidR="00A053CE" w:rsidRPr="000767AE">
        <w:rPr>
          <w:rFonts w:ascii="Arial" w:hAnsi="Arial" w:cs="Arial"/>
          <w:i/>
          <w:sz w:val="24"/>
          <w:szCs w:val="24"/>
          <w:lang w:val="en-US"/>
        </w:rPr>
        <w:t xml:space="preserve">E. coli </w:t>
      </w:r>
      <w:r w:rsidR="00A053CE" w:rsidRPr="000767AE">
        <w:rPr>
          <w:rFonts w:ascii="Arial" w:hAnsi="Arial" w:cs="Arial"/>
          <w:sz w:val="24"/>
          <w:szCs w:val="24"/>
          <w:lang w:val="en-US"/>
        </w:rPr>
        <w:t>clones, most likely through the food chain, have been reported</w:t>
      </w:r>
      <w:r w:rsidR="006F71B3" w:rsidRPr="006F71B3">
        <w:rPr>
          <w:rFonts w:ascii="Arial" w:hAnsi="Arial" w:cs="Arial"/>
          <w:sz w:val="24"/>
          <w:szCs w:val="24"/>
          <w:highlight w:val="yellow"/>
          <w:lang w:val="en-US"/>
        </w:rPr>
        <w:t>.</w:t>
      </w:r>
      <w:r w:rsidR="006F71B3" w:rsidRPr="006F71B3">
        <w:rPr>
          <w:rFonts w:ascii="Arial" w:hAnsi="Arial" w:cs="Arial"/>
          <w:sz w:val="24"/>
          <w:szCs w:val="24"/>
          <w:highlight w:val="yellow"/>
          <w:lang w:val="en-US"/>
        </w:rPr>
        <w:fldChar w:fldCharType="begin" w:fldLock="1"/>
      </w:r>
      <w:r w:rsidR="009E0BAE">
        <w:rPr>
          <w:rFonts w:ascii="Arial" w:hAnsi="Arial" w:cs="Arial"/>
          <w:sz w:val="24"/>
          <w:szCs w:val="24"/>
          <w:highlight w:val="yellow"/>
          <w:lang w:val="en-US"/>
        </w:rPr>
        <w:instrText>ADDIN CSL_CITATION { "citationItems" : [ { "id" : "ITEM-1", "itemData" : { "DOI" : "10.1093/cid/cis929", "ISSN" : "1537-6591", "PMID" : "23243181", "abstract" : "BACKGROUND: The worldwide prevalence of extended-spectrum \u03b2-lactamase (ESBL)-producing Enterobacteriaceae is increasing rapidly both in hospitals and in the community. A connection between ESBL-producing bacteria in food animals, retail meat, and humans has been suggested. We previously reported on the genetic composition of a collection of ESBL-producing Escherichia coli (ESBL-EC) from chicken meat and humans from a restricted geographic area. Now, we have extended the analysis with plasmid replicons, virulence factors, and highly discriminatory genomic profiling methods. METHODS: One hundred forty-five ESBL-EC isolates from retail chicken meat, human rectal carriers, and blood cultures were analyzed using multilocus sequence typing, phylotyping, ESBL genes, plasmid replicons, virulence genes, amplified fragment length polymorphism (AFLP), and pulsed-field gel electrophoresis (PFGE). RESULTS: Three source groups overlapped substantially when their genetic composition was compared. A combined analysis using all variables yielded the highest resolution (Wilks lambda [\u039b]: 0.08). Still, a prediction model based on the combined data classified 40% of the human isolates as chicken meat isolates. AFLP and PFGE showed that the isolates from humans and chicken meat could not be segregated and identified 1 perfect match between humans and chicken meat. CONCLUSIONS: We found significant genetic similarities among ESBL-EC isolates from chicken meat and humans according to mobile resistance elements, virulence genes, and genomic backbone. Therefore, chicken meat is a likely contributor to the recent emergence of ESBL-EC in human infections in the study region. This raises serious food safety questions regarding the abundant presence of ESBL-EC in chicken meat.", "author" : [ { "dropping-particle" : "", "family" : "Kluytmans", "given" : "Jan A J W", "non-dropping-particle" : "", "parse-names" : false, "suffix" : "" }, { "dropping-particle" : "", "family" : "Overdevest", "given" : "Ilse T M A", "non-dropping-particle" : "", "parse-names" : false, "suffix" : "" }, { "dropping-particle" : "", "family" : "Willemsen", "given" : "Ina", "non-dropping-particle" : "", "parse-names" : false, "suffix" : "" }, { "dropping-particle" : "", "family" : "Kluytmans-van den Bergh", "given" : "Marjolein F Q", "non-dropping-particle" : "", "parse-names" : false, "suffix" : "" }, { "dropping-particle" : "", "family" : "Zwaluw", "given" : "Kim", "non-dropping-particle" : "van der", "parse-names" : false, "suffix" : "" }, { "dropping-particle" : "", "family" : "Heck", "given" : "Max", "non-dropping-particle" : "", "parse-names" : false, "suffix" : "" }, { "dropping-particle" : "", "family" : "Rijnsburger", "given" : "Martine", "non-dropping-particle" : "", "parse-names" : false, "suffix" : "" }, { "dropping-particle" : "", "family" : "Vandenbroucke-Grauls", "given" : "Christina M J E", "non-dropping-particle" : "", "parse-names" : false, "suffix" : "" }, { "dropping-particle" : "", "family" : "Savelkoul", "given" : "Paul H M", "non-dropping-particle" : "", "parse-names" : false, "suffix" : "" }, { "dropping-particle" : "", "family" : "Johnston", "given" : "Brian D", "non-dropping-particle" : "", "parse-names" : false, "suffix" : "" }, { "dropping-particle" : "", "family" : "Gordon", "given" : "David", "non-dropping-particle" : "", "parse-names" : false, "suffix" : "" }, { "dropping-particle" : "", "family" : "Johnson", "given" : "James R", "non-dropping-particle" : "", "parse-names" : false, "suffix" : "" } ], "container-title" : "Clinical Infectious Diseases", "id" : "ITEM-1", "issue" : "4", "issued" : { "date-parts" : [ [ "2013", "2" ] ] }, "page" : "478-87", "title" : "Extended-spectrum \u03b2-lactamase-producing Escherichia coli from retail chicken meat and humans: comparison of strains, plasmids, resistance genes, and virulence factors.", "type" : "article-journal", "volume" : "56" }, "uris" : [ "http://www.mendeley.com/documents/?uuid=1b7cdbaa-eaf0-45e7-b85c-e2bfa4f44a97" ] } ], "mendeley" : { "formattedCitation" : "&lt;sup&gt;64&lt;/sup&gt;", "plainTextFormattedCitation" : "64", "previouslyFormattedCitation" : "&lt;sup&gt;65&lt;/sup&gt;" }, "properties" : { "noteIndex" : 0 }, "schema" : "https://github.com/citation-style-language/schema/raw/master/csl-citation.json" }</w:instrText>
      </w:r>
      <w:r w:rsidR="006F71B3" w:rsidRPr="006F71B3">
        <w:rPr>
          <w:rFonts w:ascii="Arial" w:hAnsi="Arial" w:cs="Arial"/>
          <w:sz w:val="24"/>
          <w:szCs w:val="24"/>
          <w:highlight w:val="yellow"/>
          <w:lang w:val="en-US"/>
        </w:rPr>
        <w:fldChar w:fldCharType="separate"/>
      </w:r>
      <w:r w:rsidR="009E0BAE" w:rsidRPr="009E0BAE">
        <w:rPr>
          <w:rFonts w:ascii="Arial" w:hAnsi="Arial" w:cs="Arial"/>
          <w:noProof/>
          <w:sz w:val="24"/>
          <w:szCs w:val="24"/>
          <w:highlight w:val="yellow"/>
          <w:vertAlign w:val="superscript"/>
          <w:lang w:val="en-US"/>
        </w:rPr>
        <w:t>64</w:t>
      </w:r>
      <w:r w:rsidR="006F71B3" w:rsidRPr="006F71B3">
        <w:rPr>
          <w:rFonts w:ascii="Arial" w:hAnsi="Arial" w:cs="Arial"/>
          <w:sz w:val="24"/>
          <w:szCs w:val="24"/>
          <w:highlight w:val="yellow"/>
          <w:lang w:val="en-US"/>
        </w:rPr>
        <w:fldChar w:fldCharType="end"/>
      </w:r>
      <w:r w:rsidR="00A053CE" w:rsidRPr="000767AE">
        <w:rPr>
          <w:rFonts w:ascii="Arial" w:hAnsi="Arial" w:cs="Arial"/>
          <w:sz w:val="24"/>
          <w:szCs w:val="24"/>
          <w:lang w:val="en-US"/>
        </w:rPr>
        <w:t xml:space="preserve"> Phylogenetic evidence from whole genome analyses of 51 </w:t>
      </w:r>
      <w:r w:rsidR="00A053CE" w:rsidRPr="000767AE">
        <w:rPr>
          <w:rFonts w:ascii="Arial" w:hAnsi="Arial" w:cs="Arial"/>
          <w:i/>
          <w:sz w:val="24"/>
          <w:szCs w:val="24"/>
          <w:lang w:val="en-US"/>
        </w:rPr>
        <w:t>E. faecium</w:t>
      </w:r>
      <w:r w:rsidR="00A053CE" w:rsidRPr="000767AE">
        <w:rPr>
          <w:rFonts w:ascii="Arial" w:hAnsi="Arial" w:cs="Arial"/>
          <w:sz w:val="24"/>
          <w:szCs w:val="24"/>
          <w:lang w:val="en-US"/>
        </w:rPr>
        <w:t xml:space="preserve"> strains goes further and supports the hypothesis that the epidemic hospital-adapted lineage emerged from a population that included mostly animal strains.</w:t>
      </w:r>
      <w:r w:rsidR="00A053CE"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"10.1128/mBio.00534-13.Editor", "author" : [ { "dropping-particle" : "", "family" : "Lebreton", "given" : "Fran\u00e7ois", "non-dropping-particle" : "", "parse-names" : false, "suffix" : "" }, { "dropping-particle" : "Van", "family" : "Schaik", "given" : "Willem", "non-dropping-particle" : "", "parse-names" : false, "suffix" : "" }, { "dropping-particle" : "", "family" : "Manson", "given" : "Abigail", "non-dropping-particle" : "", "parse-names" : false, "suffix" : "" } ], "container-title" : "mBio", "id" : "ITEM-1", "issue" : "4", "issued" : { "date-parts" : [ [ "2013" ] ] }, "page" : "e00534-13", "title" : "Global spread of vancomycin-resistant Enterococcus faecium from distinct nosocomial genetic complex.", "type" : "article-journal", "volume" : "4" }, "uris" : [ "http://www.mendeley.com/documents/?uuid=e0f2007e-59c8-465e-9bb1-7cb85aa5c159" ] } ], "mendeley" : { "formattedCitation" : "&lt;sup&gt;65&lt;/sup&gt;", "plainTextFormattedCitation" : "65", "previouslyFormattedCitation" : "&lt;sup&gt;66&lt;/sup&gt;" }, "properties" : { "noteIndex" : 0 }, "schema" : "https://github.com/citation-style-language/schema/raw/master/csl-citation.json" }</w:instrText>
      </w:r>
      <w:r w:rsidR="00A053CE"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65</w:t>
      </w:r>
      <w:r w:rsidR="00A053CE" w:rsidRPr="000767AE">
        <w:rPr>
          <w:rFonts w:ascii="Arial" w:hAnsi="Arial" w:cs="Arial"/>
          <w:sz w:val="24"/>
          <w:szCs w:val="24"/>
          <w:lang w:val="en-US"/>
        </w:rPr>
        <w:fldChar w:fldCharType="end"/>
      </w:r>
      <w:r w:rsidR="00A053CE" w:rsidRPr="000767AE">
        <w:rPr>
          <w:rFonts w:ascii="Arial" w:hAnsi="Arial" w:cs="Arial"/>
          <w:sz w:val="24"/>
          <w:szCs w:val="24"/>
          <w:lang w:val="en-US"/>
        </w:rPr>
        <w:t xml:space="preserve"> Human infections </w:t>
      </w:r>
      <w:r w:rsidR="004E5208" w:rsidRPr="000767AE">
        <w:rPr>
          <w:rFonts w:ascii="Arial" w:hAnsi="Arial" w:cs="Arial"/>
          <w:sz w:val="24"/>
          <w:szCs w:val="24"/>
          <w:lang w:val="en-US"/>
        </w:rPr>
        <w:t>with</w:t>
      </w:r>
      <w:r w:rsidR="00A053CE" w:rsidRPr="000767AE">
        <w:rPr>
          <w:rFonts w:ascii="Arial" w:hAnsi="Arial" w:cs="Arial"/>
          <w:sz w:val="24"/>
          <w:szCs w:val="24"/>
          <w:lang w:val="en-US"/>
        </w:rPr>
        <w:t xml:space="preserve"> MRSA have been categorised by their putative sources, such as health care- or community- associated. However</w:t>
      </w:r>
      <w:r w:rsidR="00D80F43" w:rsidRPr="000767AE">
        <w:rPr>
          <w:rFonts w:ascii="Arial" w:hAnsi="Arial" w:cs="Arial"/>
          <w:sz w:val="24"/>
          <w:szCs w:val="24"/>
          <w:lang w:val="en-US"/>
        </w:rPr>
        <w:t>,</w:t>
      </w:r>
      <w:r w:rsidR="00A053CE" w:rsidRPr="000767AE">
        <w:rPr>
          <w:rFonts w:ascii="Arial" w:hAnsi="Arial" w:cs="Arial"/>
          <w:sz w:val="24"/>
          <w:szCs w:val="24"/>
          <w:lang w:val="en-US"/>
        </w:rPr>
        <w:t xml:space="preserve"> human MRSA cases associated with exposure to pigs (livestock-associated MRSA [LA-MRSA]) have recently been described</w:t>
      </w:r>
      <w:r w:rsidR="00576EEF" w:rsidRPr="000767AE">
        <w:rPr>
          <w:rFonts w:ascii="Arial" w:hAnsi="Arial" w:cs="Arial"/>
          <w:sz w:val="24"/>
          <w:szCs w:val="24"/>
          <w:lang w:val="en-US"/>
        </w:rPr>
        <w:t>,</w:t>
      </w:r>
      <w:r w:rsidR="00A053CE"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"10.1128/mBio.00305-11.Editor", "author" : [ { "dropping-particle" : "", "family" : "Price", "given" : "Lance B", "non-dropping-particle" : "", "parse-names" : false, "suffix" : "" }, { "dropping-particle" : "", "family" : "Stegger", "given" : "Marc", "non-dropping-particle" : "", "parse-names" : false, "suffix" : "" }, { "dropping-particle" : "", "family" : "Hasman", "given" : "Henrik", "non-dropping-particle" : "", "parse-names" : false, "suffix" : "" }, { "dropping-particle" : "", "family" : "Aziz", "given" : "Maliha", "non-dropping-particle" : "", "parse-names" : false, "suffix" : "" }, { "dropping-particle" : "", "family" : "Larsen", "given" : "Jesper", "non-dropping-particle" : "", "parse-names" : false, "suffix" : "" }, { "dropping-particle" : "", "family" : "Andersen", "given" : "Skytt", "non-dropping-particle" : "", "parse-names" : false, "suffix" : "" }, { "dropping-particle" : "", "family" : "Pearson", "given" : "Talima", "non-dropping-particle" : "", "parse-names" : false, "suffix" : "" }, { "dropping-particle" : "", "family" : "Waters", "given" : "Andrew E", "non-dropping-particle" : "", "parse-names" : false, "suffix" : "" }, { "dropping-particle" : "", "family" : "Foser", "given" : "Jeffrey T", "non-dropping-particle" : "", "parse-names" : false, "suffix" : "" }, { "dropping-particle" : "", "family" : "Schupp", "given" : "James", "non-dropping-particle" : "", "parse-names" : false, "suffix" : "" }, { "dropping-particle" : "", "family" : "Gillece", "given" : "John", "non-dropping-particle" : "", "parse-names" : false, "suffix" : "" }, { "dropping-particle" : "", "family" : "Driebe", "given" : "Elizabeth", "non-dropping-particle" : "", "parse-names" : false, "suffix" : "" }, { "dropping-particle" : "", "family" : "Liu", "given" : "Cindy M", "non-dropping-particle" : "", "parse-names" : false, "suffix" : "" }, { "dropping-particle" : "", "family" : "Springer", "given" : "Burkhard", "non-dropping-particle" : "", "parse-names" : false, "suffix" : "" }, { "dropping-particle" : "", "family" : "Zdovc", "given" : "Irena", "non-dropping-particle" : "", "parse-names" : false, "suffix" : "" }, { "dropping-particle" : "", "family" : "Battisti", "given" : "Antonio", "non-dropping-particle" : "", "parse-names" : false, "suffix" : "" }, { "dropping-particle" : "", "family" : "Franco", "given" : "Alessia", "non-dropping-particle" : "", "parse-names" : false, "suffix" : "" }, { "dropping-particle" : "", "family" : "Zmudzki", "given" : "Jacek", "non-dropping-particle" : "", "parse-names" : false, "suffix" : "" }, { "dropping-particle" : "", "family" : "Schwarz", "given" : "Stefan", "non-dropping-particle" : "", "parse-names" : false, "suffix" : "" }, { "dropping-particle" : "", "family" : "Butaye", "given" : "Parick", "non-dropping-particle" : "", "parse-names" : false, "suffix" : "" }, { "dropping-particle" : "", "family" : "Jouy", "given" : "Eric", "non-dropping-particle" : "", "parse-names" : false, "suffix" : "" }, { "dropping-particle" : "", "family" : "Pomba", "given" : "Constanca", "non-dropping-particle" : "", "parse-names" : false, "suffix" : "" }, { "dropping-particle" : "", "family" : "Porrero", "given" : "M. Concepcion", "non-dropping-particle" : "", "parse-names" : false, "suffix" : "" }, { "dropping-particle" : "", "family" : "Ruimy", "given" : "Raymond", "non-dropping-particle" : "", "parse-names" : false, "suffix" : "" }, { "dropping-particle" : "", "family" : "Smith", "given" : "Tara C", "non-dropping-particle" : "", "parse-names" : false, "suffix" : "" }, { "dropping-particle" : "", "family" : "Robinson", "given" : "D. Ashley", "non-dropping-particle" : "", "parse-names" : false, "suffix" : "" }, { "dropping-particle" : "", "family" : "Weese", "given" : "J Scott", "non-dropping-particle" : "", "parse-names" : false, "suffix" : "" }, { "dropping-particle" : "", "family" : "Arriola", "given" : "Carmen Sofia", "non-dropping-particle" : "", "parse-names" : false, "suffix" : "" }, { "dropping-particle" : "", "family" : "Yu", "given" : "Fangyou", "non-dropping-particle" : "", "parse-names" : false, "suffix" : "" }, { "dropping-particle" : "", "family" : "Laurent", "given" : "Frederic", "non-dropping-particle" : "", "parse-names" : false, "suffix" : "" }, { "dropping-particle" : "", "family" : "Keim", "given" : "Paul", "non-dropping-particle" : "", "parse-names" : false, "suffix" : "" }, { "dropping-particle" : "", "family" : "Skov", "given" : "Robert", "non-dropping-particle" : "", "parse-names" : false, "suffix" : "" }, { "dropping-particle" : "", "family" : "Aaerstrup", "given" : "Frank M", "non-dropping-particle" : "", "parse-names" : false, "suffix" : "" } ], "container-title" : "mBio", "id" : "ITEM-1", "issue" : "1", "issued" : { "date-parts" : [ [ "2012" ] ] }, "page" : "e00305-11", "title" : "Adaptation and Emergence of Staphylococcus aureus CC398 : Host Adaptation and Emergence of Methicillin Resistance in Livestock", "type" : "article-journal", "volume" : "3" }, "uris" : [ "http://www.mendeley.com/documents/?uuid=30ed2fd8-a07c-459e-96af-21fcf13ffa57" ] } ], "mendeley" : { "formattedCitation" : "&lt;sup&gt;66&lt;/sup&gt;", "plainTextFormattedCitation" : "66", "previouslyFormattedCitation" : "&lt;sup&gt;67&lt;/sup&gt;" }, "properties" : { "noteIndex" : 0 }, "schema" : "https://github.com/citation-style-language/schema/raw/master/csl-citation.json" }</w:instrText>
      </w:r>
      <w:r w:rsidR="00A053CE"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66</w:t>
      </w:r>
      <w:r w:rsidR="00A053CE" w:rsidRPr="000767AE">
        <w:rPr>
          <w:rFonts w:ascii="Arial" w:hAnsi="Arial" w:cs="Arial"/>
          <w:sz w:val="24"/>
          <w:szCs w:val="24"/>
          <w:lang w:val="en-US"/>
        </w:rPr>
        <w:fldChar w:fldCharType="end"/>
      </w:r>
      <w:r w:rsidR="00A053CE" w:rsidRPr="000767AE">
        <w:rPr>
          <w:rFonts w:ascii="Arial" w:hAnsi="Arial" w:cs="Arial"/>
          <w:sz w:val="24"/>
          <w:szCs w:val="24"/>
          <w:lang w:val="en-US"/>
        </w:rPr>
        <w:t xml:space="preserve"> </w:t>
      </w:r>
      <w:r w:rsidR="00576EEF" w:rsidRPr="000767AE">
        <w:rPr>
          <w:rFonts w:ascii="Arial" w:hAnsi="Arial" w:cs="Arial"/>
          <w:sz w:val="24"/>
          <w:szCs w:val="24"/>
          <w:lang w:val="en-US"/>
        </w:rPr>
        <w:t xml:space="preserve">as has MRSA skin and soft-tissue infections associated with proximity to crop field </w:t>
      </w:r>
      <w:r w:rsidR="00A053CE" w:rsidRPr="000767AE">
        <w:rPr>
          <w:rFonts w:ascii="Arial" w:hAnsi="Arial" w:cs="Arial"/>
          <w:sz w:val="24"/>
          <w:szCs w:val="24"/>
          <w:lang w:val="en-US"/>
        </w:rPr>
        <w:t>pig manure and livestock operations.</w:t>
      </w:r>
      <w:r w:rsidR="00A053CE"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"10.1001/jamainternmed.2013.10408", "ISSN" : "2168-6114", "PMID" : "24043228", "abstract" : "IMPORTANCE: Nearly 80% of antibiotics in the United States are sold for use in livestock feeds. The manure produced by these animals contains antibiotic-resistant bacteria, resistance genes, and antibiotics and is subsequently applied to crop fields, where it may put community members at risk for antibiotic-resistant infections. OBJECTIVE: To assess the association between individual exposure to swine and dairy/veal industrial agriculture and risk of methicillin-resistant Staphylococcus aureus (MRSA) infection. DESIGN, SETTING, AND PARTICIPANTS: A population-based, nested case-control study of primary care patients from a single health care system in Pennsylvania from 2005 to 2010. Incident MRSA cases were identified using electronic health records, classified as community-associated MRSA or health care-associated MRSA, and frequency matched to randomly selected controls and patients with skin and soft-tissue infection. Nutrient management plans were used to create 2 exposure variables: seasonal crop field manure application and number of livestock animals at the operation. In a substudy, we collected 200 isolates from patients stratified by location of diagnosis and proximity to livestock operations. MAIN OUTCOMES AND MEASURES: Community-associated MRSA, health care-associated MRSA, and skin and soft-tissue infection status (with no history of MRSA) compared with controls. RESULTS: From a total population of 446,480 patients, 1539 community-associated MRSA, 1335 health care-associated MRSA, 2895 skin and soft-tissue infection cases, and 2914 controls were included. After adjustment for MRSA risk factors, the highest quartile of swine crop field exposure was significantly associated with community-associated MRSA, health care-associated MRSA, and skin and soft-tissue infection case status (adjusted odds ratios, 1.38 [95% CI, 1.13-1.69], 1.30 [95% CI, 1.05-1.61], and 1.37 [95% CI, 1.18-1.60], respectively); and there was a trend of increasing odds across quartiles for each outcome (P \u2264 .01 for trend in all comparisons). There were similar but weaker associations of swine operations with community-associated MRSA and skin and soft-tissue infection. Molecular testing of 200 isolates identified 31 unique spa types, none of which corresponded to CC398 (clonal complex 398), but some have been previously found in swine. CONCLUSIONS AND RELEVANCE: Proximity to swine manure application to crop fields and livestock operations each was associated with MRSA and ski\u2026", "author" : [ { "dropping-particle" : "", "family" : "Casey", "given" : "Joan A", "non-dropping-particle" : "", "parse-names" : false, "suffix" : "" }, { "dropping-particle" : "", "family" : "Curriero", "given" : "Frank C", "non-dropping-particle" : "", "parse-names" : false, "suffix" : "" }, { "dropping-particle" : "", "family" : "Cosgrove", "given" : "Sara E", "non-dropping-particle" : "", "parse-names" : false, "suffix" : "" }, { "dropping-particle" : "", "family" : "Nachman", "given" : "Keeve E", "non-dropping-particle" : "", "parse-names" : false, "suffix" : "" }, { "dropping-particle" : "", "family" : "Schwartz", "given" : "Brian S", "non-dropping-particle" : "", "parse-names" : false, "suffix" : "" } ], "container-title" : "JAMA internal medicine", "id" : "ITEM-1", "issue" : "21", "issued" : { "date-parts" : [ [ "2013", "11", "25" ] ] }, "page" : "1980-90", "title" : "High-density livestock operations, crop field application of manure, and risk of community-associated methicillin-resistant Staphylococcus aureus infection in Pennsylvania.", "type" : "article-journal", "volume" : "173" }, "uris" : [ "http://www.mendeley.com/documents/?uuid=30a8a89e-7b8c-4875-963e-9dc9994c57ce" ] } ], "mendeley" : { "formattedCitation" : "&lt;sup&gt;67&lt;/sup&gt;", "plainTextFormattedCitation" : "67", "previouslyFormattedCitation" : "&lt;sup&gt;68&lt;/sup&gt;" }, "properties" : { "noteIndex" : 0 }, "schema" : "https://github.com/citation-style-language/schema/raw/master/csl-citation.json" }</w:instrText>
      </w:r>
      <w:r w:rsidR="00A053CE"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67</w:t>
      </w:r>
      <w:r w:rsidR="00A053CE" w:rsidRPr="000767AE">
        <w:rPr>
          <w:rFonts w:ascii="Arial" w:hAnsi="Arial" w:cs="Arial"/>
          <w:sz w:val="24"/>
          <w:szCs w:val="24"/>
          <w:lang w:val="en-US"/>
        </w:rPr>
        <w:fldChar w:fldCharType="end"/>
      </w:r>
      <w:r w:rsidR="00A053CE" w:rsidRPr="000767AE">
        <w:rPr>
          <w:rFonts w:ascii="Arial" w:hAnsi="Arial" w:cs="Arial"/>
          <w:sz w:val="24"/>
          <w:szCs w:val="24"/>
          <w:lang w:val="en-US"/>
        </w:rPr>
        <w:t xml:space="preserve"> </w:t>
      </w:r>
    </w:p>
    <w:p w14:paraId="4AB510F4" w14:textId="77777777" w:rsidR="00A053CE" w:rsidRPr="000767AE" w:rsidRDefault="00A053CE" w:rsidP="00A053CE">
      <w:pPr>
        <w:rPr>
          <w:rFonts w:ascii="Arial" w:hAnsi="Arial" w:cs="Arial"/>
          <w:sz w:val="24"/>
          <w:szCs w:val="24"/>
        </w:rPr>
      </w:pPr>
    </w:p>
    <w:p w14:paraId="681500F3" w14:textId="3DC4AC6C" w:rsidR="004E5208" w:rsidRPr="000767AE" w:rsidRDefault="004E5208" w:rsidP="00A053CE">
      <w:pPr>
        <w:rPr>
          <w:rFonts w:ascii="Arial" w:hAnsi="Arial" w:cs="Arial"/>
          <w:sz w:val="24"/>
          <w:szCs w:val="24"/>
        </w:rPr>
      </w:pPr>
      <w:r w:rsidRPr="000767AE">
        <w:rPr>
          <w:rFonts w:ascii="Arial" w:hAnsi="Arial" w:cs="Arial"/>
          <w:sz w:val="24"/>
          <w:szCs w:val="24"/>
        </w:rPr>
        <w:t>The contribution of the environment to AMR is also concern</w:t>
      </w:r>
      <w:r w:rsidR="00576EEF" w:rsidRPr="000767AE">
        <w:rPr>
          <w:rFonts w:ascii="Arial" w:hAnsi="Arial" w:cs="Arial"/>
          <w:sz w:val="24"/>
          <w:szCs w:val="24"/>
        </w:rPr>
        <w:t>ing</w:t>
      </w:r>
      <w:r w:rsidRPr="000767AE">
        <w:rPr>
          <w:rFonts w:ascii="Arial" w:hAnsi="Arial" w:cs="Arial"/>
          <w:sz w:val="24"/>
          <w:szCs w:val="24"/>
        </w:rPr>
        <w:t xml:space="preserve">. </w:t>
      </w:r>
      <w:r w:rsidR="0003071A" w:rsidRPr="000767AE">
        <w:rPr>
          <w:rFonts w:ascii="Arial" w:hAnsi="Arial" w:cs="Arial"/>
          <w:sz w:val="24"/>
          <w:szCs w:val="24"/>
        </w:rPr>
        <w:t>Use of metals in a</w:t>
      </w:r>
      <w:r w:rsidRPr="000767AE">
        <w:rPr>
          <w:rFonts w:ascii="Arial" w:hAnsi="Arial" w:cs="Arial"/>
          <w:sz w:val="24"/>
          <w:szCs w:val="24"/>
        </w:rPr>
        <w:t>gricultur</w:t>
      </w:r>
      <w:r w:rsidR="0003071A" w:rsidRPr="000767AE">
        <w:rPr>
          <w:rFonts w:ascii="Arial" w:hAnsi="Arial" w:cs="Arial"/>
          <w:sz w:val="24"/>
          <w:szCs w:val="24"/>
        </w:rPr>
        <w:t>e</w:t>
      </w:r>
      <w:r w:rsidRPr="000767AE">
        <w:rPr>
          <w:rFonts w:ascii="Arial" w:hAnsi="Arial" w:cs="Arial"/>
          <w:sz w:val="24"/>
          <w:szCs w:val="24"/>
        </w:rPr>
        <w:t xml:space="preserve"> </w:t>
      </w:r>
      <w:r w:rsidR="00BC485B" w:rsidRPr="000767AE">
        <w:rPr>
          <w:rFonts w:ascii="Arial" w:hAnsi="Arial" w:cs="Arial"/>
          <w:sz w:val="24"/>
          <w:szCs w:val="24"/>
        </w:rPr>
        <w:t>(for example when copper is applied directly as a bactericide/fungicide),</w:t>
      </w:r>
      <w:r w:rsidR="00BC485B" w:rsidRPr="000767AE">
        <w:rPr>
          <w:rFonts w:ascii="Arial" w:hAnsi="Arial" w:cs="Arial"/>
          <w:sz w:val="24"/>
          <w:szCs w:val="24"/>
        </w:rPr>
        <w:fldChar w:fldCharType="begin" w:fldLock="1"/>
      </w:r>
      <w:r w:rsidR="009E0BAE">
        <w:rPr>
          <w:rFonts w:ascii="Arial" w:hAnsi="Arial" w:cs="Arial"/>
          <w:sz w:val="24"/>
          <w:szCs w:val="24"/>
        </w:rPr>
        <w:instrText>ADDIN CSL_CITATION { "citationItems" : [ { "id" : "ITEM-1", "itemData" : { "DOI" : "10.1111/j.1472-765X.2004.01650.x", "ISSN" : "0266-8254", "PMID" : "15644115", "abstract" : "AIMS: The objective of this study was to determine whether Cu-amendment of field plots affects the frequency of Cu resistance, and antibiotic resistance patterns in indigenous soil bacteria. METHODS AND RESULTS: Soil bacteria were isolated from untreated and Cu-amended field plots. Cu-amendment significantly increased the frequency of Cu-resistant isolates. A panel of isolates were characterized by Gram-reaction, amplified ribosomal DNA restriction analysis and resistance profiling against seven antibiotics. More than 95% of the Cu-resistant isolates were Gram-negative. Cu-resistant Gram-negative isolates had significantly higher incidence of resistance to ampicillin, sulphanilamide and multiple (&gt; or =3) antibiotics than Cu-sensitive Gram-negative isolates. Furthermore, Cu-resistant Gram-negative isolates from Cu-contaminated plots had significantly higher incidence of resistance to chloramphenicol and multiple (&gt; or =2) antibiotics than corresponding isolates from control plots. SIGNIFICANCE AND IMPACT OF THE STUDY: The results of this field experiment show that introduction of Cu to agricultural soil selects for Cu resistance, but also indirectly selects for antibiotic resistance in the Cu-resistant bacteria. Hence, the widespread accumulation of Cu in agricultural soils worldwide could have a significant effect on the environmental selection of antibiotic resistance.", "author" : [ { "dropping-particle" : "", "family" : "Berg", "given" : "J", "non-dropping-particle" : "", "parse-names" : false, "suffix" : "" }, { "dropping-particle" : "", "family" : "Tom-Petersen", "given" : "A", "non-dropping-particle" : "", "parse-names" : false, "suffix" : "" }, { "dropping-particle" : "", "family" : "Nybroe", "given" : "O", "non-dropping-particle" : "", "parse-names" : false, "suffix" : "" } ], "container-title" : "Letters in Applied Microbiology", "id" : "ITEM-1", "issue" : "2", "issued" : { "date-parts" : [ [ "2005", "1" ] ] }, "page" : "146-51", "title" : "Copper amendment of agricultural soil selects for bacterial antibiotic resistance in the field.", "type" : "article-journal", "volume" : "40" }, "uris" : [ "http://www.mendeley.com/documents/?uuid=5d1243b0-9fc5-4c7a-adaa-398e61672575" ] } ], "mendeley" : { "formattedCitation" : "&lt;sup&gt;68&lt;/sup&gt;", "plainTextFormattedCitation" : "68", "previouslyFormattedCitation" : "&lt;sup&gt;69&lt;/sup&gt;" }, "properties" : { "noteIndex" : 0 }, "schema" : "https://github.com/citation-style-language/schema/raw/master/csl-citation.json" }</w:instrText>
      </w:r>
      <w:r w:rsidR="00BC485B" w:rsidRPr="000767AE">
        <w:rPr>
          <w:rFonts w:ascii="Arial" w:hAnsi="Arial" w:cs="Arial"/>
          <w:sz w:val="24"/>
          <w:szCs w:val="24"/>
        </w:rPr>
        <w:fldChar w:fldCharType="separate"/>
      </w:r>
      <w:r w:rsidR="009E0BAE" w:rsidRPr="009E0BAE">
        <w:rPr>
          <w:rFonts w:ascii="Arial" w:hAnsi="Arial" w:cs="Arial"/>
          <w:noProof/>
          <w:sz w:val="24"/>
          <w:szCs w:val="24"/>
          <w:vertAlign w:val="superscript"/>
        </w:rPr>
        <w:t>68</w:t>
      </w:r>
      <w:r w:rsidR="00BC485B" w:rsidRPr="000767AE">
        <w:rPr>
          <w:rFonts w:ascii="Arial" w:hAnsi="Arial" w:cs="Arial"/>
          <w:sz w:val="24"/>
          <w:szCs w:val="24"/>
        </w:rPr>
        <w:fldChar w:fldCharType="end"/>
      </w:r>
      <w:r w:rsidR="00BC485B" w:rsidRPr="000767AE">
        <w:rPr>
          <w:rFonts w:ascii="Arial" w:hAnsi="Arial" w:cs="Arial"/>
          <w:sz w:val="24"/>
          <w:szCs w:val="24"/>
        </w:rPr>
        <w:t xml:space="preserve"> and </w:t>
      </w:r>
      <w:r w:rsidR="001655F1" w:rsidRPr="000767AE">
        <w:rPr>
          <w:rFonts w:ascii="Arial" w:hAnsi="Arial" w:cs="Arial"/>
          <w:sz w:val="24"/>
          <w:szCs w:val="24"/>
        </w:rPr>
        <w:t>even natural occurrence of metals in certain geographical areas</w:t>
      </w:r>
      <w:r w:rsidR="00BC485B" w:rsidRPr="000767AE">
        <w:rPr>
          <w:rFonts w:ascii="Arial" w:hAnsi="Arial" w:cs="Arial"/>
          <w:sz w:val="24"/>
          <w:szCs w:val="24"/>
        </w:rPr>
        <w:t>,</w:t>
      </w:r>
      <w:r w:rsidR="00BC485B" w:rsidRPr="000767AE">
        <w:rPr>
          <w:rFonts w:ascii="Arial" w:hAnsi="Arial" w:cs="Arial"/>
          <w:sz w:val="24"/>
          <w:szCs w:val="24"/>
        </w:rPr>
        <w:fldChar w:fldCharType="begin" w:fldLock="1"/>
      </w:r>
      <w:r w:rsidR="009E0BAE">
        <w:rPr>
          <w:rFonts w:ascii="Arial" w:hAnsi="Arial" w:cs="Arial"/>
          <w:sz w:val="24"/>
          <w:szCs w:val="24"/>
        </w:rPr>
        <w:instrText>ADDIN CSL_CITATION { "citationItems" : [ { "id" : "ITEM-1", "itemData" : { "DOI" : "10.1371/journal.pone.0027300", "ISSN" : "1932-6203", "PMID" : "22096547", "abstract" : "The vast majority of antibiotic resistant genes (ARG) acquired by human pathogens have originated from the natural environment. Therefore, understanding factors that influence intrinsic levels of ARG in the environment could be epidemiologically significant. The selection for metal resistance often promotes AR in exposed organisms; however, the relationship between metal levels in nature and the intrinsic presence of ARG has not been fully assessed. Here, we quantified, using qPCR, the abundance of eleven ARG and compared their levels with geochemical conditions in randomly selected soils from a Scottish archive. Many ARG positively correlated with soil copper levels, with approximately half being highly significant (p&lt;0.05); whereas chromium, nickel, lead, and iron also significantly correlated with specific ARG. Results show that geochemical metal conditions innately influence the potential for AR in soil. We suggest soil geochemical data might be used to estimate baseline gene presence on local, regional and global scales within epidemiological risk studies related to AR transmission from the environment.", "author" : [ { "dropping-particle" : "", "family" : "Knapp", "given" : "Charles W", "non-dropping-particle" : "", "parse-names" : false, "suffix" : "" }, { "dropping-particle" : "", "family" : "McCluskey", "given" : "Se\u00e1n\u00edn M", "non-dropping-particle" : "", "parse-names" : false, "suffix" : "" }, { "dropping-particle" : "", "family" : "Singh", "given" : "Brajesh K", "non-dropping-particle" : "", "parse-names" : false, "suffix" : "" }, { "dropping-particle" : "", "family" : "Campbell", "given" : "Colin D", "non-dropping-particle" : "", "parse-names" : false, "suffix" : "" }, { "dropping-particle" : "", "family" : "Hudson", "given" : "Gordon", "non-dropping-particle" : "", "parse-names" : false, "suffix" : "" }, { "dropping-particle" : "", "family" : "Graham", "given" : "David W", "non-dropping-particle" : "", "parse-names" : false, "suffix" : "" } ], "container-title" : "PLoS ONE", "id" : "ITEM-1", "issue" : "11", "issued" : { "date-parts" : [ [ "2011", "1" ] ] }, "page" : "e27300", "title" : "Antibiotic resistance gene abundances correlate with metal and geochemical conditions in archived Scottish soils.", "type" : "article-journal", "volume" : "6" }, "uris" : [ "http://www.mendeley.com/documents/?uuid=5a9c34c5-94bd-4c33-a5b8-cb03ddcd7360" ] } ], "mendeley" : { "formattedCitation" : "&lt;sup&gt;69&lt;/sup&gt;", "plainTextFormattedCitation" : "69", "previouslyFormattedCitation" : "&lt;sup&gt;70&lt;/sup&gt;" }, "properties" : { "noteIndex" : 0 }, "schema" : "https://github.com/citation-style-language/schema/raw/master/csl-citation.json" }</w:instrText>
      </w:r>
      <w:r w:rsidR="00BC485B" w:rsidRPr="000767AE">
        <w:rPr>
          <w:rFonts w:ascii="Arial" w:hAnsi="Arial" w:cs="Arial"/>
          <w:sz w:val="24"/>
          <w:szCs w:val="24"/>
        </w:rPr>
        <w:fldChar w:fldCharType="separate"/>
      </w:r>
      <w:r w:rsidR="009E0BAE" w:rsidRPr="009E0BAE">
        <w:rPr>
          <w:rFonts w:ascii="Arial" w:hAnsi="Arial" w:cs="Arial"/>
          <w:noProof/>
          <w:sz w:val="24"/>
          <w:szCs w:val="24"/>
          <w:vertAlign w:val="superscript"/>
        </w:rPr>
        <w:t>69</w:t>
      </w:r>
      <w:r w:rsidR="00BC485B" w:rsidRPr="000767AE">
        <w:rPr>
          <w:rFonts w:ascii="Arial" w:hAnsi="Arial" w:cs="Arial"/>
          <w:sz w:val="24"/>
          <w:szCs w:val="24"/>
        </w:rPr>
        <w:fldChar w:fldCharType="end"/>
      </w:r>
      <w:r w:rsidR="00BC485B" w:rsidRPr="000767AE">
        <w:rPr>
          <w:rFonts w:ascii="Arial" w:hAnsi="Arial" w:cs="Arial"/>
          <w:sz w:val="24"/>
          <w:szCs w:val="24"/>
        </w:rPr>
        <w:t xml:space="preserve"> </w:t>
      </w:r>
      <w:r w:rsidRPr="000767AE">
        <w:rPr>
          <w:rFonts w:ascii="Arial" w:hAnsi="Arial" w:cs="Arial"/>
          <w:sz w:val="24"/>
          <w:szCs w:val="24"/>
        </w:rPr>
        <w:t>can</w:t>
      </w:r>
      <w:r w:rsidR="00A32297" w:rsidRPr="000767AE">
        <w:rPr>
          <w:rFonts w:ascii="Arial" w:hAnsi="Arial" w:cs="Arial"/>
          <w:sz w:val="24"/>
          <w:szCs w:val="24"/>
        </w:rPr>
        <w:t xml:space="preserve"> select for </w:t>
      </w:r>
      <w:r w:rsidR="008051B9" w:rsidRPr="000767AE">
        <w:rPr>
          <w:rFonts w:ascii="Arial" w:hAnsi="Arial" w:cs="Arial"/>
          <w:sz w:val="24"/>
          <w:szCs w:val="24"/>
        </w:rPr>
        <w:t>resistance</w:t>
      </w:r>
      <w:r w:rsidR="00A32297" w:rsidRPr="000767AE">
        <w:rPr>
          <w:rFonts w:ascii="Arial" w:hAnsi="Arial" w:cs="Arial"/>
          <w:sz w:val="24"/>
          <w:szCs w:val="24"/>
        </w:rPr>
        <w:t xml:space="preserve">; of more concern many </w:t>
      </w:r>
      <w:r w:rsidR="00A1490E" w:rsidRPr="000767AE">
        <w:rPr>
          <w:rFonts w:ascii="Arial" w:hAnsi="Arial" w:cs="Arial"/>
          <w:sz w:val="24"/>
          <w:szCs w:val="24"/>
        </w:rPr>
        <w:t>metals</w:t>
      </w:r>
      <w:r w:rsidR="00C43422" w:rsidRPr="000767AE">
        <w:rPr>
          <w:rFonts w:ascii="Arial" w:hAnsi="Arial" w:cs="Arial"/>
          <w:sz w:val="24"/>
          <w:szCs w:val="24"/>
        </w:rPr>
        <w:t xml:space="preserve"> co-select</w:t>
      </w:r>
      <w:r w:rsidR="00A32297" w:rsidRPr="000767AE">
        <w:rPr>
          <w:rFonts w:ascii="Arial" w:hAnsi="Arial" w:cs="Arial"/>
          <w:sz w:val="24"/>
          <w:szCs w:val="24"/>
        </w:rPr>
        <w:t xml:space="preserve"> </w:t>
      </w:r>
      <w:r w:rsidR="00C43422" w:rsidRPr="000767AE">
        <w:rPr>
          <w:rFonts w:ascii="Arial" w:hAnsi="Arial" w:cs="Arial"/>
          <w:sz w:val="24"/>
          <w:szCs w:val="24"/>
        </w:rPr>
        <w:t>for</w:t>
      </w:r>
      <w:r w:rsidR="00A32297" w:rsidRPr="000767AE">
        <w:rPr>
          <w:rFonts w:ascii="Arial" w:hAnsi="Arial" w:cs="Arial"/>
          <w:sz w:val="24"/>
          <w:szCs w:val="24"/>
        </w:rPr>
        <w:t xml:space="preserve"> </w:t>
      </w:r>
      <w:r w:rsidR="00467A9A" w:rsidRPr="000767AE">
        <w:rPr>
          <w:rFonts w:ascii="Arial" w:hAnsi="Arial" w:cs="Arial"/>
          <w:sz w:val="24"/>
          <w:szCs w:val="24"/>
        </w:rPr>
        <w:t>AMR</w:t>
      </w:r>
      <w:r w:rsidR="00BC5746" w:rsidRPr="000767AE">
        <w:rPr>
          <w:rFonts w:ascii="Arial" w:hAnsi="Arial" w:cs="Arial"/>
          <w:sz w:val="24"/>
          <w:szCs w:val="24"/>
        </w:rPr>
        <w:t>.</w:t>
      </w:r>
      <w:r w:rsidR="00BC5746" w:rsidRPr="000767AE">
        <w:rPr>
          <w:rFonts w:ascii="Arial" w:hAnsi="Arial" w:cs="Arial"/>
          <w:sz w:val="24"/>
          <w:szCs w:val="24"/>
        </w:rPr>
        <w:fldChar w:fldCharType="begin" w:fldLock="1"/>
      </w:r>
      <w:r w:rsidR="009E0BAE">
        <w:rPr>
          <w:rFonts w:ascii="Arial" w:hAnsi="Arial" w:cs="Arial"/>
          <w:sz w:val="24"/>
          <w:szCs w:val="24"/>
        </w:rPr>
        <w:instrText>ADDIN CSL_CITATION { "citationItems" : [ { "id" : "ITEM-1", "itemData" : { "DOI" : "10.1098/rspb.2009.0320", "ISSN" : "0962-8452", "PMID" : "19364732", "abstract" : "Antibiotics are among the most valuable compounds used for fighting human diseases. Unfortunately, pathogenic bacteria have evolved towards resistance. One important and frequently forgotten aspect of antibiotics and their resistance genes is that they evolved in non-clinical (natural) environments before the use of antibiotics by humans. Given that the biosphere is mainly formed by micro-organisms, learning the functional role of antibiotics and their resistance elements in nature has relevant implications both for human health and from an ecological perspective. Recent works have suggested that some antibiotics may serve for signalling purposes at the low concentrations probably found in natural ecosystems, whereas some antibiotic resistance genes were originally selected in their hosts for metabolic purposes or for signal trafficking. However, the high concentrations of antibiotics released in specific habitats (for instance, clinical settings) as a consequence of human activity can shift those functional roles. The pollution of natural ecosystems by antibiotics and resistance genes might have consequences for the evolution of the microbiosphere. Whereas antibiotics produce transient and usually local challenges in microbial communities, antibiotic resistance genes present in gene-transfer units can spread in nature with consequences for human health and the evolution of environmental microbiota that are largely ignored.", "author" : [ { "dropping-particle" : "", "family" : "Martinez", "given" : "Jose L", "non-dropping-particle" : "", "parse-names" : false, "suffix" : "" } ], "container-title" : "Proceeding of the Royal Society. Biological Sciences.", "id" : "ITEM-1", "issue" : "1667", "issued" : { "date-parts" : [ [ "2009", "7", "22" ] ] }, "page" : "2521-30", "title" : "The role of natural environments in the evolution of resistance traits in pathogenic bacteria.", "type" : "article-journal", "volume" : "276" }, "uris" : [ "http://www.mendeley.com/documents/?uuid=c8ac946c-ce4f-44b0-8f5e-2820ca0430bd" ] }, { "id" : "ITEM-2", "itemData" : { "DOI" : "10.3389/fmicb.2012.00399", "ISSN" : "1664-302X", "PMID" : "23248620", "abstract" : "The use of antibiotic agents as growth promoters was banned in animal husbandry to prevent the selection and spread of antibiotic resistance. However, in addition to antibiotic agents, heavy metals used in animal farming and aquaculture might promote the spread of antibiotic resistance via co-selection. To investigate which heavy metals are likely to co-select for antibiotic resistance in soil and water, the available data on heavy metal pollution, heavy metal toxicity, heavy metal tolerance, and co-selection mechanisms was reviewed. Additionally, the risk of metal driven co-selection of antibiotic resistance in the environment was assessed based on heavy metal concentrations that potentially induce this co-selection process. Analyses of the data indicate that agricultural and aquacultural practices represent major sources of soil and water contamination with moderately to highly toxic metals such as mercury (Hg), cadmium (Cd), copper (Cu), and zinc (Zn). If those metals reach the environment and accumulate to critical concentrations they can trigger co-selection of antibiotic resistance. Furthermore, co-selection mechanisms for these heavy metals and clinically as well as veterinary relevant antibiotics have been described. Therefore, studies investigating co-selection in environments impacted by agriculture and aquaculture should focus on Hg, Cd, Cu, and Zn as selecting heavy metals. Nevertheless, the respective environmental background has to be taken into account.", "author" : [ { "dropping-particle" : "", "family" : "Seiler", "given" : "Claudia", "non-dropping-particle" : "", "parse-names" : false, "suffix" : "" }, { "dropping-particle" : "", "family" : "Berendonk", "given" : "Thomas U", "non-dropping-particle" : "", "parse-names" : false, "suffix" : "" } ], "container-title" : "Frontiers in Microbiology", "id" : "ITEM-2", "issued" : { "date-parts" : [ [ "2012", "1" ] ] }, "page" : "399", "title" : "Heavy metal driven co-selection of antibiotic resistance in soil and water bodies impacted by agriculture and aquaculture.", "type" : "article-journal", "volume" : "3" }, "uris" : [ "http://www.mendeley.com/documents/?uuid=e4129b1e-f1a7-4f51-82f2-910ace86e8cd" ] } ], "mendeley" : { "formattedCitation" : "&lt;sup&gt;7,70&lt;/sup&gt;", "plainTextFormattedCitation" : "7,70", "previouslyFormattedCitation" : "&lt;sup&gt;7,71&lt;/sup&gt;" }, "properties" : { "noteIndex" : 0 }, "schema" : "https://github.com/citation-style-language/schema/raw/master/csl-citation.json" }</w:instrText>
      </w:r>
      <w:r w:rsidR="00BC5746" w:rsidRPr="000767AE">
        <w:rPr>
          <w:rFonts w:ascii="Arial" w:hAnsi="Arial" w:cs="Arial"/>
          <w:sz w:val="24"/>
          <w:szCs w:val="24"/>
        </w:rPr>
        <w:fldChar w:fldCharType="separate"/>
      </w:r>
      <w:r w:rsidR="009E0BAE" w:rsidRPr="009E0BAE">
        <w:rPr>
          <w:rFonts w:ascii="Arial" w:hAnsi="Arial" w:cs="Arial"/>
          <w:noProof/>
          <w:sz w:val="24"/>
          <w:szCs w:val="24"/>
          <w:vertAlign w:val="superscript"/>
        </w:rPr>
        <w:t>7,70</w:t>
      </w:r>
      <w:r w:rsidR="00BC5746" w:rsidRPr="000767AE">
        <w:rPr>
          <w:rFonts w:ascii="Arial" w:hAnsi="Arial" w:cs="Arial"/>
          <w:sz w:val="24"/>
          <w:szCs w:val="24"/>
        </w:rPr>
        <w:fldChar w:fldCharType="end"/>
      </w:r>
      <w:r w:rsidR="00BC5746" w:rsidRPr="000767AE">
        <w:rPr>
          <w:rFonts w:ascii="Arial" w:hAnsi="Arial" w:cs="Arial"/>
          <w:sz w:val="24"/>
          <w:szCs w:val="24"/>
        </w:rPr>
        <w:t xml:space="preserve"> </w:t>
      </w:r>
      <w:r w:rsidR="00467A9A" w:rsidRPr="000767AE">
        <w:rPr>
          <w:rFonts w:ascii="Arial" w:hAnsi="Arial" w:cs="Arial"/>
          <w:sz w:val="24"/>
          <w:szCs w:val="24"/>
        </w:rPr>
        <w:t>E</w:t>
      </w:r>
      <w:r w:rsidR="00442233" w:rsidRPr="000767AE">
        <w:rPr>
          <w:rFonts w:ascii="Arial" w:hAnsi="Arial" w:cs="Arial"/>
          <w:sz w:val="24"/>
          <w:szCs w:val="24"/>
        </w:rPr>
        <w:t xml:space="preserve">ven </w:t>
      </w:r>
      <w:r w:rsidR="00467A9A" w:rsidRPr="000767AE">
        <w:rPr>
          <w:rFonts w:ascii="Arial" w:hAnsi="Arial" w:cs="Arial"/>
          <w:sz w:val="24"/>
          <w:szCs w:val="24"/>
        </w:rPr>
        <w:t xml:space="preserve">the </w:t>
      </w:r>
      <w:r w:rsidR="00442233" w:rsidRPr="000767AE">
        <w:rPr>
          <w:rFonts w:ascii="Arial" w:hAnsi="Arial" w:cs="Arial"/>
          <w:sz w:val="24"/>
          <w:szCs w:val="24"/>
        </w:rPr>
        <w:t xml:space="preserve">commonly used </w:t>
      </w:r>
      <w:r w:rsidR="00367E8D" w:rsidRPr="000767AE">
        <w:rPr>
          <w:rFonts w:ascii="Arial" w:hAnsi="Arial" w:cs="Arial"/>
          <w:sz w:val="24"/>
          <w:szCs w:val="24"/>
        </w:rPr>
        <w:t xml:space="preserve">nitrogen fertilizers </w:t>
      </w:r>
      <w:r w:rsidR="00467A9A" w:rsidRPr="000767AE">
        <w:rPr>
          <w:rFonts w:ascii="Arial" w:hAnsi="Arial" w:cs="Arial"/>
          <w:sz w:val="24"/>
          <w:szCs w:val="24"/>
        </w:rPr>
        <w:t xml:space="preserve">may </w:t>
      </w:r>
      <w:r w:rsidR="00367E8D" w:rsidRPr="000767AE">
        <w:rPr>
          <w:rFonts w:ascii="Arial" w:hAnsi="Arial" w:cs="Arial"/>
          <w:sz w:val="24"/>
          <w:szCs w:val="24"/>
        </w:rPr>
        <w:t xml:space="preserve">influence </w:t>
      </w:r>
      <w:r w:rsidR="007716CC" w:rsidRPr="000767AE">
        <w:rPr>
          <w:rFonts w:ascii="Arial" w:hAnsi="Arial" w:cs="Arial"/>
          <w:sz w:val="24"/>
          <w:szCs w:val="24"/>
        </w:rPr>
        <w:t xml:space="preserve">the </w:t>
      </w:r>
      <w:r w:rsidR="00367E8D" w:rsidRPr="000767AE">
        <w:rPr>
          <w:rFonts w:ascii="Arial" w:hAnsi="Arial" w:cs="Arial"/>
          <w:sz w:val="24"/>
          <w:szCs w:val="24"/>
        </w:rPr>
        <w:t>soil content of antibiotic resistance genes</w:t>
      </w:r>
      <w:r w:rsidR="00B93BDB" w:rsidRPr="000767AE">
        <w:rPr>
          <w:rFonts w:ascii="Arial" w:hAnsi="Arial" w:cs="Arial"/>
          <w:sz w:val="24"/>
          <w:szCs w:val="24"/>
        </w:rPr>
        <w:t xml:space="preserve">, causing shifts in the relative abundance of </w:t>
      </w:r>
      <w:r w:rsidR="00A1490E" w:rsidRPr="000767AE">
        <w:rPr>
          <w:rFonts w:ascii="Arial" w:hAnsi="Arial" w:cs="Arial"/>
          <w:sz w:val="24"/>
          <w:szCs w:val="24"/>
        </w:rPr>
        <w:t>micro-</w:t>
      </w:r>
      <w:r w:rsidR="00B93BDB" w:rsidRPr="000767AE">
        <w:rPr>
          <w:rFonts w:ascii="Arial" w:hAnsi="Arial" w:cs="Arial"/>
          <w:sz w:val="24"/>
          <w:szCs w:val="24"/>
        </w:rPr>
        <w:t>organisms</w:t>
      </w:r>
      <w:r w:rsidR="007716CC" w:rsidRPr="000767AE">
        <w:rPr>
          <w:rFonts w:ascii="Arial" w:hAnsi="Arial" w:cs="Arial"/>
          <w:sz w:val="24"/>
          <w:szCs w:val="24"/>
        </w:rPr>
        <w:t>.</w:t>
      </w:r>
      <w:r w:rsidR="007716CC" w:rsidRPr="000767AE">
        <w:rPr>
          <w:rFonts w:ascii="Arial" w:hAnsi="Arial" w:cs="Arial"/>
          <w:sz w:val="24"/>
          <w:szCs w:val="24"/>
        </w:rPr>
        <w:fldChar w:fldCharType="begin" w:fldLock="1"/>
      </w:r>
      <w:r w:rsidR="0081077D" w:rsidRPr="000767AE">
        <w:rPr>
          <w:rFonts w:ascii="Arial" w:hAnsi="Arial" w:cs="Arial"/>
          <w:sz w:val="24"/>
          <w:szCs w:val="24"/>
        </w:rPr>
        <w:instrText>ADDIN CSL_CITATION { "citationItems" : [ { "id" : "ITEM-1", "itemData" : { "DOI" : "10.1038/nature13377", "ISSN" : "1476-4687", "PMID" : "24847883", "abstract" : "Ancient and diverse antibiotic resistance genes (ARGs) have previously been identified from soil, including genes identical to those in human pathogens. Despite the apparent overlap between soil and clinical resistomes, factors influencing ARG composition in soil and their movement between genomes and habitats remain largely unknown. General metagenome functions often correlate with the underlying structure of bacterial communities. However, ARGs are proposed to be highly mobile, prompting speculation that resistomes may not correlate with phylogenetic signatures or ecological divisions. To investigate these relationships, we performed functional metagenomic selections for resistance to 18 antibiotics from 18 agricultural and grassland soils. The 2,895 ARGs we discovered were mostly new, and represent all major resistance mechanisms. We demonstrate that distinct soil types harbour distinct resistomes, and that the addition of nitrogen fertilizer strongly influenced soil ARG content. Resistome composition also correlated with microbial phylogenetic and taxonomic structure, both across and within soil types. Consistent with this strong correlation, mobility elements (genes responsible for horizontal gene transfer between bacteria such as transposases and integrases) syntenic with ARGs were rare in soil by comparison with sequenced pathogens, suggesting that ARGs may not transfer between soil bacteria as readily as is observed between human pathogens. Together, our results indicate that bacterial community composition is the primary determinant of soil ARG content, challenging previous hypotheses that horizontal gene transfer effectively decouples resistomes from phylogeny.", "author" : [ { "dropping-particle" : "", "family" : "Forsberg", "given" : "Kevin J", "non-dropping-particle" : "", "parse-names" : false, "suffix" : "" }, { "dropping-particle" : "", "family" : "Patel", "given" : "Sanket", "non-dropping-particle" : "", "parse-names" : false, "suffix" : "" }, { "dropping-particle" : "", "family" : "Gibson", "given" : "Molly K", "non-dropping-particle" : "", "parse-names" : false, "suffix" : "" }, { "dropping-particle" : "", "family" : "Lauber", "given" : "Christian L", "non-dropping-particle" : "", "parse-names" : false, "suffix" : "" }, { "dropping-particle" : "", "family" : "Knight", "given" : "Rob", "non-dropping-particle" : "", "parse-names" : false, "suffix" : "" }, { "dropping-particle" : "", "family" : "Fierer", "given" : "Noah", "non-dropping-particle" : "", "parse-names" : false, "suffix" : "" }, { "dropping-particle" : "", "family" : "Dantas", "given" : "Gautam", "non-dropping-particle" : "", "parse-names" : false, "suffix" : "" } ], "container-title" : "Nature", "id" : "ITEM-1", "issue" : "7502", "issued" : { "date-parts" : [ [ "2014", "5", "29" ] ] }, "page" : "612-6", "publisher" : "Nature Publishing Group", "title" : "Bacterial phylogeny structures soil resistomes across habitats.", "type" : "article-journal", "volume" : "509" }, "uris" : [ "http://www.mendeley.com/documents/?uuid=c1223db6-de5d-4f09-9fb0-d2383c545d12" ] } ], "mendeley" : { "formattedCitation" : "&lt;sup&gt;5&lt;/sup&gt;", "plainTextFormattedCitation" : "5", "previouslyFormattedCitation" : "&lt;sup&gt;5&lt;/sup&gt;" }, "properties" : { "noteIndex" : 0 }, "schema" : "https://github.com/citation-style-language/schema/raw/master/csl-citation.json" }</w:instrText>
      </w:r>
      <w:r w:rsidR="007716CC" w:rsidRPr="000767AE">
        <w:rPr>
          <w:rFonts w:ascii="Arial" w:hAnsi="Arial" w:cs="Arial"/>
          <w:sz w:val="24"/>
          <w:szCs w:val="24"/>
        </w:rPr>
        <w:fldChar w:fldCharType="separate"/>
      </w:r>
      <w:r w:rsidR="0081077D" w:rsidRPr="000767AE">
        <w:rPr>
          <w:rFonts w:ascii="Arial" w:hAnsi="Arial" w:cs="Arial"/>
          <w:noProof/>
          <w:sz w:val="24"/>
          <w:szCs w:val="24"/>
          <w:vertAlign w:val="superscript"/>
        </w:rPr>
        <w:t>5</w:t>
      </w:r>
      <w:r w:rsidR="007716CC" w:rsidRPr="000767AE">
        <w:rPr>
          <w:rFonts w:ascii="Arial" w:hAnsi="Arial" w:cs="Arial"/>
          <w:sz w:val="24"/>
          <w:szCs w:val="24"/>
        </w:rPr>
        <w:fldChar w:fldCharType="end"/>
      </w:r>
      <w:r w:rsidR="00367E8D" w:rsidRPr="000767AE">
        <w:rPr>
          <w:rFonts w:ascii="Arial" w:hAnsi="Arial" w:cs="Arial"/>
          <w:sz w:val="24"/>
          <w:szCs w:val="24"/>
        </w:rPr>
        <w:t xml:space="preserve"> </w:t>
      </w:r>
      <w:r w:rsidR="00C43422" w:rsidRPr="000767AE">
        <w:rPr>
          <w:rFonts w:ascii="Arial" w:hAnsi="Arial" w:cs="Arial"/>
          <w:sz w:val="24"/>
          <w:szCs w:val="24"/>
        </w:rPr>
        <w:t>T</w:t>
      </w:r>
      <w:r w:rsidR="008006C6" w:rsidRPr="000767AE">
        <w:rPr>
          <w:rFonts w:ascii="Arial" w:hAnsi="Arial" w:cs="Arial"/>
          <w:sz w:val="24"/>
          <w:szCs w:val="24"/>
        </w:rPr>
        <w:t xml:space="preserve">he importance of sewage and </w:t>
      </w:r>
      <w:r w:rsidR="00B93BDB" w:rsidRPr="000767AE">
        <w:rPr>
          <w:rFonts w:ascii="Arial" w:hAnsi="Arial" w:cs="Arial"/>
          <w:sz w:val="24"/>
          <w:szCs w:val="24"/>
        </w:rPr>
        <w:t xml:space="preserve">waste </w:t>
      </w:r>
      <w:r w:rsidR="008006C6" w:rsidRPr="000767AE">
        <w:rPr>
          <w:rFonts w:ascii="Arial" w:hAnsi="Arial" w:cs="Arial"/>
          <w:sz w:val="24"/>
          <w:szCs w:val="24"/>
        </w:rPr>
        <w:t xml:space="preserve">processing in environment-human transmission </w:t>
      </w:r>
      <w:r w:rsidR="00C43422" w:rsidRPr="000767AE">
        <w:rPr>
          <w:rFonts w:ascii="Arial" w:hAnsi="Arial" w:cs="Arial"/>
          <w:sz w:val="24"/>
          <w:szCs w:val="24"/>
        </w:rPr>
        <w:t>is also clear</w:t>
      </w:r>
      <w:r w:rsidR="008006C6" w:rsidRPr="000767AE">
        <w:rPr>
          <w:rFonts w:ascii="Arial" w:hAnsi="Arial" w:cs="Arial"/>
          <w:sz w:val="24"/>
          <w:szCs w:val="24"/>
        </w:rPr>
        <w:t xml:space="preserve">. </w:t>
      </w:r>
      <w:r w:rsidR="00B93BDB" w:rsidRPr="000767AE">
        <w:rPr>
          <w:rFonts w:ascii="Arial" w:hAnsi="Arial" w:cs="Arial"/>
          <w:sz w:val="24"/>
          <w:szCs w:val="24"/>
        </w:rPr>
        <w:t>This stems from</w:t>
      </w:r>
      <w:r w:rsidR="008006C6" w:rsidRPr="000767AE">
        <w:rPr>
          <w:rFonts w:ascii="Arial" w:hAnsi="Arial" w:cs="Arial"/>
          <w:sz w:val="24"/>
          <w:szCs w:val="24"/>
        </w:rPr>
        <w:t xml:space="preserve"> antimicrobials and antimicrobial metabolites entering </w:t>
      </w:r>
      <w:r w:rsidR="00B93BDB" w:rsidRPr="000767AE">
        <w:rPr>
          <w:rFonts w:ascii="Arial" w:hAnsi="Arial" w:cs="Arial"/>
          <w:sz w:val="24"/>
          <w:szCs w:val="24"/>
        </w:rPr>
        <w:t xml:space="preserve">not only </w:t>
      </w:r>
      <w:r w:rsidR="00E2046E" w:rsidRPr="000767AE">
        <w:rPr>
          <w:rFonts w:ascii="Arial" w:hAnsi="Arial" w:cs="Arial"/>
          <w:sz w:val="24"/>
          <w:szCs w:val="24"/>
        </w:rPr>
        <w:t xml:space="preserve">from </w:t>
      </w:r>
      <w:r w:rsidR="00B93BDB" w:rsidRPr="000767AE">
        <w:rPr>
          <w:rFonts w:ascii="Arial" w:hAnsi="Arial" w:cs="Arial"/>
          <w:sz w:val="24"/>
          <w:szCs w:val="24"/>
        </w:rPr>
        <w:t xml:space="preserve">human </w:t>
      </w:r>
      <w:r w:rsidR="008006C6" w:rsidRPr="000767AE">
        <w:rPr>
          <w:rFonts w:ascii="Arial" w:hAnsi="Arial" w:cs="Arial"/>
          <w:sz w:val="24"/>
          <w:szCs w:val="24"/>
        </w:rPr>
        <w:t xml:space="preserve">waste processing, </w:t>
      </w:r>
      <w:r w:rsidR="00B93BDB" w:rsidRPr="000767AE">
        <w:rPr>
          <w:rFonts w:ascii="Arial" w:hAnsi="Arial" w:cs="Arial"/>
          <w:sz w:val="24"/>
          <w:szCs w:val="24"/>
        </w:rPr>
        <w:t>but also from pharmaceutical industry pollution</w:t>
      </w:r>
      <w:r w:rsidR="00E2046E" w:rsidRPr="000767AE">
        <w:rPr>
          <w:rFonts w:ascii="Arial" w:hAnsi="Arial" w:cs="Arial"/>
          <w:sz w:val="24"/>
          <w:szCs w:val="24"/>
        </w:rPr>
        <w:t>. In</w:t>
      </w:r>
      <w:r w:rsidR="00B93BDB" w:rsidRPr="000767AE">
        <w:rPr>
          <w:rFonts w:ascii="Arial" w:hAnsi="Arial" w:cs="Arial"/>
          <w:sz w:val="24"/>
          <w:szCs w:val="24"/>
        </w:rPr>
        <w:t xml:space="preserve"> consequen</w:t>
      </w:r>
      <w:r w:rsidR="00E2046E" w:rsidRPr="000767AE">
        <w:rPr>
          <w:rFonts w:ascii="Arial" w:hAnsi="Arial" w:cs="Arial"/>
          <w:sz w:val="24"/>
          <w:szCs w:val="24"/>
        </w:rPr>
        <w:t>ce</w:t>
      </w:r>
      <w:r w:rsidR="00B93BDB" w:rsidRPr="000767AE">
        <w:rPr>
          <w:rFonts w:ascii="Arial" w:hAnsi="Arial" w:cs="Arial"/>
          <w:sz w:val="24"/>
          <w:szCs w:val="24"/>
        </w:rPr>
        <w:t xml:space="preserve">  </w:t>
      </w:r>
      <w:r w:rsidR="008006C6" w:rsidRPr="000767AE">
        <w:rPr>
          <w:rFonts w:ascii="Arial" w:hAnsi="Arial" w:cs="Arial"/>
          <w:sz w:val="24"/>
          <w:szCs w:val="24"/>
        </w:rPr>
        <w:t xml:space="preserve">numerous potentially pathogenic </w:t>
      </w:r>
      <w:r w:rsidR="00467A9A" w:rsidRPr="000767AE">
        <w:rPr>
          <w:rFonts w:ascii="Arial" w:hAnsi="Arial" w:cs="Arial"/>
          <w:sz w:val="24"/>
          <w:szCs w:val="24"/>
        </w:rPr>
        <w:t>AMR microbes</w:t>
      </w:r>
      <w:r w:rsidR="008006C6" w:rsidRPr="000767AE">
        <w:rPr>
          <w:rFonts w:ascii="Arial" w:hAnsi="Arial" w:cs="Arial"/>
          <w:sz w:val="24"/>
          <w:szCs w:val="24"/>
        </w:rPr>
        <w:t xml:space="preserve"> have been isolated from pre- and (importantly) post-treatment sewage systems</w:t>
      </w:r>
      <w:r w:rsidR="00AB0B73" w:rsidRPr="000767AE">
        <w:rPr>
          <w:rFonts w:ascii="Arial" w:hAnsi="Arial" w:cs="Arial"/>
          <w:sz w:val="24"/>
          <w:szCs w:val="24"/>
        </w:rPr>
        <w:t>.</w:t>
      </w:r>
      <w:r w:rsidR="00AB0B73" w:rsidRPr="000767AE">
        <w:rPr>
          <w:rFonts w:ascii="Arial" w:hAnsi="Arial" w:cs="Arial"/>
          <w:sz w:val="24"/>
          <w:szCs w:val="24"/>
        </w:rPr>
        <w:fldChar w:fldCharType="begin" w:fldLock="1"/>
      </w:r>
      <w:r w:rsidR="009E0BAE">
        <w:rPr>
          <w:rFonts w:ascii="Arial" w:hAnsi="Arial" w:cs="Arial"/>
          <w:sz w:val="24"/>
          <w:szCs w:val="24"/>
        </w:rPr>
        <w:instrText>ADDIN CSL_CITATION { "citationItems" : [ { "id" : "ITEM-1", "itemData" : { "DOI" : "10.1016/S1473-3099(12)70317-1", "ISSN" : "1474-4457", "PMID" : "23347633", "abstract" : "During the past 10 years, multidrug-resistant Gram-negative Enterobacteriaceae have become a substantial challenge to infection control. It has been suggested by clinicians that the effectiveness of antibiotics is in such rapid decline that, depending on the pathogen concerned, their future utility can be measured in decades or even years. Unless the rise in antibiotic resistance can be reversed, we can expect to see a substantial rise in incurable infection and fatality in both developed and developing regions. Antibiotic resistance develops through complex interactions, with resistance arising by de-novo mutation under clinical antibiotic selection or frequently by acquisition of mobile genes that have evolved over time in bacteria in the environment. The reservoir of resistance genes in the environment is due to a mix of naturally occurring resistance and those present in animal and human waste and the selective effects of pollutants, which can co-select for mobile genetic elements carrying multiple resistant genes. Less attention has been given to how anthropogenic activity might be causing evolution of antibiotic resistance in the environment. Although the economics of the pharmaceutical industry continue to restrict investment in novel biomedical responses, action must be taken to avoid the conjunction of factors that promote evolution and spread of antibiotic resistance.", "author" : [ { "dropping-particle" : "", "family" : "Wellington", "given" : "Elizabeth M H", "non-dropping-particle" : "", "parse-names" : false, "suffix" : "" }, { "dropping-particle" : "", "family" : "Boxall", "given" : "Alistair B", "non-dropping-particle" : "", "parse-names" : false, "suffix" : "" }, { "dropping-particle" : "", "family" : "Cross", "given" : "Paul", "non-dropping-particle" : "", "parse-names" : false, "suffix" : "" }, { "dropping-particle" : "", "family" : "Feil", "given" : "Edward J", "non-dropping-particle" : "", "parse-names" : false, "suffix" : "" }, { "dropping-particle" : "", "family" : "Gaze", "given" : "William H", "non-dropping-particle" : "", "parse-names" : false, "suffix" : "" }, { "dropping-particle" : "", "family" : "Hawkey", "given" : "Peter M", "non-dropping-particle" : "", "parse-names" : false, "suffix" : "" }, { "dropping-particle" : "", "family" : "Johnson-Rollings", "given" : "Ashley S", "non-dropping-particle" : "", "parse-names" : false, "suffix" : "" }, { "dropping-particle" : "", "family" : "Jones", "given" : "Davey L", "non-dropping-particle" : "", "parse-names" : false, "suffix" : "" }, { "dropping-particle" : "", "family" : "Lee", "given" : "Nicholas M", "non-dropping-particle" : "", "parse-names" : false, "suffix" : "" }, { "dropping-particle" : "", "family" : "Otten", "given" : "Wilfred", "non-dropping-particle" : "", "parse-names" : false, "suffix" : "" }, { "dropping-particle" : "", "family" : "Thomas", "given" : "Christopher M", "non-dropping-particle" : "", "parse-names" : false, "suffix" : "" }, { "dropping-particle" : "", "family" : "Williams", "given" : "a Prysor", "non-dropping-particle" : "", "parse-names" : false, "suffix" : "" } ], "container-title" : "Lancet Infectious Diseases", "id" : "ITEM-1", "issue" : "2", "issued" : { "date-parts" : [ [ "2013", "2" ] ] }, "page" : "155-65", "publisher" : "Elsevier Ltd", "title" : "The role of the natural environment in the emergence of antibiotic resistance in gram-negative bacteria.", "type" : "article-journal", "volume" : "13" }, "uris" : [ "http://www.mendeley.com/documents/?uuid=e1c7dc2e-0421-4334-9116-3a937a56ae99" ] }, { "id" : "ITEM-2", "itemData" : { "DOI" : "10.1371/journal.pone.0017038", "ISSN" : "1932-6203", "PMID" : "21359229", "abstract" : "The high and sometimes inappropriate use of antibiotics has accelerated the development of antibiotic resistance, creating a major challenge for the sustainable treatment of infections world-wide. Bacterial communities often respond to antibiotic selection pressure by acquiring resistance genes, i.e. mobile genetic elements that can be shared horizontally between species. Environmental microbial communities maintain diverse collections of resistance genes, which can be mobilized into pathogenic bacteria. Recently, exceptional environmental releases of antibiotics have been documented, but the effects on the promotion of resistance genes and the potential for horizontal gene transfer have yet received limited attention. In this study, we have used culture-independent shotgun metagenomics to investigate microbial communities in river sediments exposed to waste water from the production of antibiotics in India. Our analysis identified very high levels of several classes of resistance genes as well as elements for horizontal gene transfer, including integrons, transposons and plasmids. In addition, two abundant previously uncharacterized resistance plasmids were identified. The results suggest that antibiotic contamination plays a role in the promotion of resistance genes and their mobilization from environmental microbes to other species and eventually to human pathogens. The entire life-cycle of antibiotic substances, both before, under and after usage, should therefore be considered to fully evaluate their role in the promotion of resistance.", "author" : [ { "dropping-particle" : "", "family" : "Kristiansson", "given" : "Erik", "non-dropping-particle" : "", "parse-names" : false, "suffix" : "" }, { "dropping-particle" : "", "family" : "Fick", "given" : "Jerker", "non-dropping-particle" : "", "parse-names" : false, "suffix" : "" }, { "dropping-particle" : "", "family" : "Janzon", "given" : "Anders", "non-dropping-particle" : "", "parse-names" : false, "suffix" : "" }, { "dropping-particle" : "", "family" : "Grabic", "given" : "Roman", "non-dropping-particle" : "", "parse-names" : false, "suffix" : "" }, { "dropping-particle" : "", "family" : "Rutgersson", "given" : "Carolin", "non-dropping-particle" : "", "parse-names" : false, "suffix" : "" }, { "dropping-particle" : "", "family" : "Weijdeg\u00e5rd", "given" : "Birgitta", "non-dropping-particle" : "", "parse-names" : false, "suffix" : "" }, { "dropping-particle" : "", "family" : "S\u00f6derstr\u00f6m", "given" : "Hanna", "non-dropping-particle" : "", "parse-names" : false, "suffix" : "" }, { "dropping-particle" : "", "family" : "Larsson", "given" : "D G Joakim", "non-dropping-particle" : "", "parse-names" : false, "suffix" : "" } ], "container-title" : "PLoS One", "id" : "ITEM-2", "issue" : "2", "issued" : { "date-parts" : [ [ "2011", "1" ] ] }, "page" : "e17038", "title" : "Pyrosequencing of antibiotic-contaminated river sediments reveals high levels of resistance and gene transfer elements.", "type" : "article-journal", "volume" : "6" }, "uris" : [ "http://www.mendeley.com/documents/?uuid=01ec8276-cfd6-487e-a7db-fcf3282169ca" ] } ], "mendeley" : { "formattedCitation" : "&lt;sup&gt;42,71&lt;/sup&gt;", "plainTextFormattedCitation" : "42,71", "previouslyFormattedCitation" : "&lt;sup&gt;43,72&lt;/sup&gt;" }, "properties" : { "noteIndex" : 0 }, "schema" : "https://github.com/citation-style-language/schema/raw/master/csl-citation.json" }</w:instrText>
      </w:r>
      <w:r w:rsidR="00AB0B73" w:rsidRPr="000767AE">
        <w:rPr>
          <w:rFonts w:ascii="Arial" w:hAnsi="Arial" w:cs="Arial"/>
          <w:sz w:val="24"/>
          <w:szCs w:val="24"/>
        </w:rPr>
        <w:fldChar w:fldCharType="separate"/>
      </w:r>
      <w:r w:rsidR="009E0BAE" w:rsidRPr="009E0BAE">
        <w:rPr>
          <w:rFonts w:ascii="Arial" w:hAnsi="Arial" w:cs="Arial"/>
          <w:noProof/>
          <w:sz w:val="24"/>
          <w:szCs w:val="24"/>
          <w:vertAlign w:val="superscript"/>
        </w:rPr>
        <w:t>42,71</w:t>
      </w:r>
      <w:r w:rsidR="00AB0B73" w:rsidRPr="000767AE">
        <w:rPr>
          <w:rFonts w:ascii="Arial" w:hAnsi="Arial" w:cs="Arial"/>
          <w:sz w:val="24"/>
          <w:szCs w:val="24"/>
        </w:rPr>
        <w:fldChar w:fldCharType="end"/>
      </w:r>
      <w:r w:rsidR="00C43422" w:rsidRPr="000767AE">
        <w:rPr>
          <w:rFonts w:ascii="Arial" w:hAnsi="Arial" w:cs="Arial"/>
          <w:sz w:val="24"/>
          <w:szCs w:val="24"/>
        </w:rPr>
        <w:t xml:space="preserve"> </w:t>
      </w:r>
      <w:r w:rsidR="000029CD" w:rsidRPr="000767AE">
        <w:rPr>
          <w:rFonts w:ascii="Arial" w:hAnsi="Arial" w:cs="Arial"/>
          <w:sz w:val="24"/>
          <w:szCs w:val="24"/>
        </w:rPr>
        <w:t>The s</w:t>
      </w:r>
      <w:r w:rsidR="007716CC" w:rsidRPr="000767AE">
        <w:rPr>
          <w:rFonts w:ascii="Arial" w:hAnsi="Arial" w:cs="Arial"/>
          <w:sz w:val="24"/>
          <w:szCs w:val="24"/>
        </w:rPr>
        <w:t xml:space="preserve">ubsequent </w:t>
      </w:r>
      <w:r w:rsidR="001655F1" w:rsidRPr="000767AE">
        <w:rPr>
          <w:rFonts w:ascii="Arial" w:hAnsi="Arial" w:cs="Arial"/>
          <w:sz w:val="24"/>
          <w:szCs w:val="24"/>
        </w:rPr>
        <w:t>detection</w:t>
      </w:r>
      <w:r w:rsidR="00A1490E" w:rsidRPr="000767AE">
        <w:rPr>
          <w:rFonts w:ascii="Arial" w:hAnsi="Arial" w:cs="Arial"/>
          <w:sz w:val="24"/>
          <w:szCs w:val="24"/>
        </w:rPr>
        <w:t xml:space="preserve"> of antimicrobials and </w:t>
      </w:r>
      <w:r w:rsidR="00467A9A" w:rsidRPr="000767AE">
        <w:rPr>
          <w:rFonts w:ascii="Arial" w:hAnsi="Arial" w:cs="Arial"/>
          <w:sz w:val="24"/>
          <w:szCs w:val="24"/>
        </w:rPr>
        <w:t>AMR microbes</w:t>
      </w:r>
      <w:r w:rsidR="001655F1" w:rsidRPr="000767AE">
        <w:rPr>
          <w:rFonts w:ascii="Arial" w:hAnsi="Arial" w:cs="Arial"/>
          <w:sz w:val="24"/>
          <w:szCs w:val="24"/>
        </w:rPr>
        <w:t xml:space="preserve"> in surface- and ground-water</w:t>
      </w:r>
      <w:r w:rsidR="00C80450" w:rsidRPr="000767AE">
        <w:rPr>
          <w:rFonts w:ascii="Arial" w:hAnsi="Arial" w:cs="Arial"/>
          <w:sz w:val="24"/>
          <w:szCs w:val="24"/>
        </w:rPr>
        <w:t>,</w:t>
      </w:r>
      <w:r w:rsidR="00B814DE" w:rsidRPr="000767AE">
        <w:rPr>
          <w:rFonts w:ascii="Arial" w:hAnsi="Arial" w:cs="Arial"/>
          <w:sz w:val="24"/>
          <w:szCs w:val="24"/>
        </w:rPr>
        <w:fldChar w:fldCharType="begin" w:fldLock="1"/>
      </w:r>
      <w:r w:rsidR="009E0BAE">
        <w:rPr>
          <w:rFonts w:ascii="Arial" w:hAnsi="Arial" w:cs="Arial"/>
          <w:sz w:val="24"/>
          <w:szCs w:val="24"/>
        </w:rPr>
        <w:instrText>ADDIN CSL_CITATION { "citationItems" : [ { "id" : "ITEM-1", "itemData" : { "DOI" : "10.1111/j.1462-2920.2006.01054.x", "ISSN" : "1462-2912", "PMID" : "16817922", "abstract" : "The accelerated growth of finfish aquaculture has resulted in a series of developments detrimental to the environment and human health. The latter is illustrated by the widespread and unrestricted use of prophylactic antibiotics in this industry, especially in developing countries, to forestall bacterial infections resulting from sanitary shortcomings in fish rearing. The use of a wide variety of antibiotics in large amounts, including non-biodegradable antibiotics useful in human medicine, ensures that they remain in the aquatic environment, exerting their selective pressure for long periods of time. This process has resulted in the emergence of antibiotic-resistant bacteria in aquaculture environments, in the increase of antibiotic resistance in fish pathogens, in the transfer of these resistance determinants to bacteria of land animals and to human pathogens, and in alterations of the bacterial flora both in sediments and in the water column. The use of large amounts of antibiotics that have to be mixed with fish food also creates problems for industrial health and increases the opportunities for the presence of residual antibiotics in fish meat and fish products. Thus, it appears that global efforts are needed to promote more judicious use of prophylactic antibiotics in aquaculture as accumulating evidence indicates that unrestricted use is detrimental to fish, terrestrial animals, and human health and the environment.", "author" : [ { "dropping-particle" : "", "family" : "Cabello", "given" : "Felipe C", "non-dropping-particle" : "", "parse-names" : false, "suffix" : "" } ], "container-title" : "Environmental Microbiology", "id" : "ITEM-1", "issue" : "7", "issued" : { "date-parts" : [ [ "2006", "7" ] ] }, "page" : "1137-44", "title" : "Heavy use of prophylactic antibiotics in aquaculture: a growing problem for human and animal health and for the environment.", "type" : "article-journal", "volume" : "8" }, "uris" : [ "http://www.mendeley.com/documents/?uuid=c3be0b8a-4ba6-4828-ae1f-958373a94103" ] }, { "id" : "ITEM-2", "itemData" : { "DOI" : "10.1016/S1473-3099(12)70317-1", "ISSN" : "1474-4457", "PMID" : "23347633", "abstract" : "During the past 10 years, multidrug-resistant Gram-negative Enterobacteriaceae have become a substantial challenge to infection control. It has been suggested by clinicians that the effectiveness of antibiotics is in such rapid decline that, depending on the pathogen concerned, their future utility can be measured in decades or even years. Unless the rise in antibiotic resistance can be reversed, we can expect to see a substantial rise in incurable infection and fatality in both developed and developing regions. Antibiotic resistance develops through complex interactions, with resistance arising by de-novo mutation under clinical antibiotic selection or frequently by acquisition of mobile genes that have evolved over time in bacteria in the environment. The reservoir of resistance genes in the environment is due to a mix of naturally occurring resistance and those present in animal and human waste and the selective effects of pollutants, which can co-select for mobile genetic elements carrying multiple resistant genes. Less attention has been given to how anthropogenic activity might be causing evolution of antibiotic resistance in the environment. Although the economics of the pharmaceutical industry continue to restrict investment in novel biomedical responses, action must be taken to avoid the conjunction of factors that promote evolution and spread of antibiotic resistance.", "author" : [ { "dropping-particle" : "", "family" : "Wellington", "given" : "Elizabeth M H", "non-dropping-particle" : "", "parse-names" : false, "suffix" : "" }, { "dropping-particle" : "", "family" : "Boxall", "given" : "Alistair B", "non-dropping-particle" : "", "parse-names" : false, "suffix" : "" }, { "dropping-particle" : "", "family" : "Cross", "given" : "Paul", "non-dropping-particle" : "", "parse-names" : false, "suffix" : "" }, { "dropping-particle" : "", "family" : "Feil", "given" : "Edward J", "non-dropping-particle" : "", "parse-names" : false, "suffix" : "" }, { "dropping-particle" : "", "family" : "Gaze", "given" : "William H", "non-dropping-particle" : "", "parse-names" : false, "suffix" : "" }, { "dropping-particle" : "", "family" : "Hawkey", "given" : "Peter M", "non-dropping-particle" : "", "parse-names" : false, "suffix" : "" }, { "dropping-particle" : "", "family" : "Johnson-Rollings", "given" : "Ashley S", "non-dropping-particle" : "", "parse-names" : false, "suffix" : "" }, { "dropping-particle" : "", "family" : "Jones", "given" : "Davey L", "non-dropping-particle" : "", "parse-names" : false, "suffix" : "" }, { "dropping-particle" : "", "family" : "Lee", "given" : "Nicholas M", "non-dropping-particle" : "", "parse-names" : false, "suffix" : "" }, { "dropping-particle" : "", "family" : "Otten", "given" : "Wilfred", "non-dropping-particle" : "", "parse-names" : false, "suffix" : "" }, { "dropping-particle" : "", "family" : "Thomas", "given" : "Christopher M", "non-dropping-particle" : "", "parse-names" : false, "suffix" : "" }, { "dropping-particle" : "", "family" : "Williams", "given" : "a Prysor", "non-dropping-particle" : "", "parse-names" : false, "suffix" : "" } ], "container-title" : "Lancet Infectious Diseases", "id" : "ITEM-2", "issue" : "2", "issued" : { "date-parts" : [ [ "2013", "2" ] ] }, "page" : "155-65", "publisher" : "Elsevier Ltd", "title" : "The role of the natural environment in the emergence of antibiotic resistance in gram-negative bacteria.", "type" : "article-journal", "volume" : "13" }, "uris" : [ "http://www.mendeley.com/documents/?uuid=e1c7dc2e-0421-4334-9116-3a937a56ae99" ] } ], "mendeley" : { "formattedCitation" : "&lt;sup&gt;35,42&lt;/sup&gt;", "plainTextFormattedCitation" : "35,42", "previouslyFormattedCitation" : "&lt;sup&gt;36,43&lt;/sup&gt;" }, "properties" : { "noteIndex" : 0 }, "schema" : "https://github.com/citation-style-language/schema/raw/master/csl-citation.json" }</w:instrText>
      </w:r>
      <w:r w:rsidR="00B814DE" w:rsidRPr="000767AE">
        <w:rPr>
          <w:rFonts w:ascii="Arial" w:hAnsi="Arial" w:cs="Arial"/>
          <w:sz w:val="24"/>
          <w:szCs w:val="24"/>
        </w:rPr>
        <w:fldChar w:fldCharType="separate"/>
      </w:r>
      <w:r w:rsidR="009E0BAE" w:rsidRPr="009E0BAE">
        <w:rPr>
          <w:rFonts w:ascii="Arial" w:hAnsi="Arial" w:cs="Arial"/>
          <w:noProof/>
          <w:sz w:val="24"/>
          <w:szCs w:val="24"/>
          <w:vertAlign w:val="superscript"/>
        </w:rPr>
        <w:t>35,42</w:t>
      </w:r>
      <w:r w:rsidR="00B814DE" w:rsidRPr="000767AE">
        <w:rPr>
          <w:rFonts w:ascii="Arial" w:hAnsi="Arial" w:cs="Arial"/>
          <w:sz w:val="24"/>
          <w:szCs w:val="24"/>
        </w:rPr>
        <w:fldChar w:fldCharType="end"/>
      </w:r>
      <w:r w:rsidR="007F7CC3" w:rsidRPr="000767AE">
        <w:rPr>
          <w:rFonts w:ascii="Arial" w:hAnsi="Arial" w:cs="Arial"/>
          <w:sz w:val="24"/>
          <w:szCs w:val="24"/>
        </w:rPr>
        <w:t xml:space="preserve"> reinforces the environmental need for preventive action to be taken.</w:t>
      </w:r>
    </w:p>
    <w:p w14:paraId="7B0EAD41" w14:textId="77777777" w:rsidR="004E5208" w:rsidRPr="000767AE" w:rsidRDefault="004E5208" w:rsidP="00A053CE">
      <w:pPr>
        <w:rPr>
          <w:rFonts w:ascii="Arial" w:hAnsi="Arial" w:cs="Arial"/>
          <w:sz w:val="24"/>
          <w:szCs w:val="24"/>
        </w:rPr>
      </w:pPr>
    </w:p>
    <w:p w14:paraId="1F583CCE" w14:textId="535BD40F" w:rsidR="00A053CE" w:rsidRPr="000767AE" w:rsidDel="00FC2687" w:rsidRDefault="00A053CE" w:rsidP="00A053CE">
      <w:pPr>
        <w:pStyle w:val="ListParagraph"/>
        <w:autoSpaceDE w:val="0"/>
        <w:autoSpaceDN w:val="0"/>
        <w:adjustRightInd w:val="0"/>
        <w:spacing w:after="0" w:line="240" w:lineRule="auto"/>
        <w:ind w:left="0"/>
        <w:rPr>
          <w:rFonts w:ascii="Arial" w:hAnsi="Arial" w:cs="Arial"/>
          <w:sz w:val="24"/>
          <w:szCs w:val="24"/>
          <w:lang w:val="en-US"/>
        </w:rPr>
      </w:pPr>
      <w:r w:rsidRPr="000767AE" w:rsidDel="00FC2687">
        <w:rPr>
          <w:rFonts w:ascii="Arial" w:hAnsi="Arial" w:cs="Arial"/>
          <w:sz w:val="24"/>
          <w:szCs w:val="24"/>
          <w:lang w:val="en-US"/>
        </w:rPr>
        <w:t>In summary</w:t>
      </w:r>
      <w:r w:rsidR="00A1490E" w:rsidRPr="000767AE">
        <w:rPr>
          <w:rFonts w:ascii="Arial" w:hAnsi="Arial" w:cs="Arial"/>
          <w:sz w:val="24"/>
          <w:szCs w:val="24"/>
          <w:lang w:val="en-US"/>
        </w:rPr>
        <w:t>,</w:t>
      </w:r>
      <w:r w:rsidRPr="000767AE" w:rsidDel="00FC2687">
        <w:rPr>
          <w:rFonts w:ascii="Arial" w:hAnsi="Arial" w:cs="Arial"/>
          <w:sz w:val="24"/>
          <w:szCs w:val="24"/>
          <w:lang w:val="en-US"/>
        </w:rPr>
        <w:t xml:space="preserve"> the global acquisition, persistence</w:t>
      </w:r>
      <w:r w:rsidR="000E00F2" w:rsidRPr="000767AE">
        <w:rPr>
          <w:rFonts w:ascii="Arial" w:hAnsi="Arial" w:cs="Arial"/>
          <w:sz w:val="24"/>
          <w:szCs w:val="24"/>
          <w:lang w:val="en-US"/>
        </w:rPr>
        <w:t>,</w:t>
      </w:r>
      <w:r w:rsidRPr="000767AE" w:rsidDel="00FC2687">
        <w:rPr>
          <w:rFonts w:ascii="Arial" w:hAnsi="Arial" w:cs="Arial"/>
          <w:sz w:val="24"/>
          <w:szCs w:val="24"/>
          <w:lang w:val="en-US"/>
        </w:rPr>
        <w:t xml:space="preserve"> and transmission of </w:t>
      </w:r>
      <w:r w:rsidR="00467A9A" w:rsidRPr="000767AE">
        <w:rPr>
          <w:rFonts w:ascii="Arial" w:hAnsi="Arial" w:cs="Arial"/>
          <w:sz w:val="24"/>
          <w:szCs w:val="24"/>
          <w:lang w:val="en-US"/>
        </w:rPr>
        <w:t>AMR microbes</w:t>
      </w:r>
      <w:r w:rsidRPr="000767AE" w:rsidDel="00FC2687">
        <w:rPr>
          <w:rFonts w:ascii="Arial" w:hAnsi="Arial" w:cs="Arial"/>
          <w:sz w:val="24"/>
          <w:szCs w:val="24"/>
          <w:lang w:val="en-US"/>
        </w:rPr>
        <w:t xml:space="preserve"> by people, animals</w:t>
      </w:r>
      <w:r w:rsidR="000E00F2" w:rsidRPr="000767AE">
        <w:rPr>
          <w:rFonts w:ascii="Arial" w:hAnsi="Arial" w:cs="Arial"/>
          <w:sz w:val="24"/>
          <w:szCs w:val="24"/>
          <w:lang w:val="en-US"/>
        </w:rPr>
        <w:t>,</w:t>
      </w:r>
      <w:r w:rsidRPr="000767AE" w:rsidDel="00FC2687">
        <w:rPr>
          <w:rFonts w:ascii="Arial" w:hAnsi="Arial" w:cs="Arial"/>
          <w:sz w:val="24"/>
          <w:szCs w:val="24"/>
          <w:lang w:val="en-US"/>
        </w:rPr>
        <w:t xml:space="preserve"> and the environment is hugely influenced by</w:t>
      </w:r>
      <w:r w:rsidR="00A1490E" w:rsidRPr="000767AE">
        <w:rPr>
          <w:rFonts w:ascii="Arial" w:hAnsi="Arial" w:cs="Arial"/>
          <w:sz w:val="24"/>
          <w:szCs w:val="24"/>
          <w:lang w:val="en-US"/>
        </w:rPr>
        <w:t>:</w:t>
      </w:r>
      <w:r w:rsidRPr="000767AE" w:rsidDel="00FC2687">
        <w:rPr>
          <w:rFonts w:ascii="Arial" w:hAnsi="Arial" w:cs="Arial"/>
          <w:sz w:val="24"/>
          <w:szCs w:val="24"/>
          <w:lang w:val="en-US"/>
        </w:rPr>
        <w:t xml:space="preserve"> lack of access to clean water, </w:t>
      </w:r>
      <w:r w:rsidRPr="000767AE">
        <w:rPr>
          <w:rFonts w:ascii="Arial" w:hAnsi="Arial" w:cs="Arial"/>
          <w:sz w:val="24"/>
          <w:szCs w:val="24"/>
          <w:lang w:val="en-US"/>
        </w:rPr>
        <w:t>open rather than closed sewage systems</w:t>
      </w:r>
      <w:r w:rsidRPr="000767AE" w:rsidDel="00FC2687">
        <w:rPr>
          <w:rFonts w:ascii="Arial" w:hAnsi="Arial" w:cs="Arial"/>
          <w:sz w:val="24"/>
          <w:szCs w:val="24"/>
          <w:lang w:val="en-US"/>
        </w:rPr>
        <w:t xml:space="preserve">, </w:t>
      </w:r>
      <w:r w:rsidR="00F23C93" w:rsidRPr="000767AE">
        <w:rPr>
          <w:rFonts w:ascii="Arial" w:hAnsi="Arial" w:cs="Arial"/>
          <w:sz w:val="24"/>
          <w:szCs w:val="24"/>
          <w:lang w:val="en-US"/>
        </w:rPr>
        <w:t>variation in healthcare infection control practices</w:t>
      </w:r>
      <w:r w:rsidR="007953C1" w:rsidRPr="000767AE">
        <w:rPr>
          <w:rFonts w:ascii="Arial" w:hAnsi="Arial" w:cs="Arial"/>
          <w:sz w:val="24"/>
          <w:szCs w:val="24"/>
          <w:lang w:val="en-US"/>
        </w:rPr>
        <w:t>, inadequate</w:t>
      </w:r>
      <w:r w:rsidRPr="000767AE">
        <w:rPr>
          <w:rFonts w:ascii="Arial" w:hAnsi="Arial" w:cs="Arial"/>
          <w:sz w:val="24"/>
          <w:szCs w:val="24"/>
          <w:lang w:val="en-US"/>
        </w:rPr>
        <w:t xml:space="preserve"> </w:t>
      </w:r>
      <w:r w:rsidR="007953C1" w:rsidRPr="000767AE">
        <w:rPr>
          <w:rFonts w:ascii="Arial" w:hAnsi="Arial" w:cs="Arial"/>
          <w:sz w:val="24"/>
          <w:szCs w:val="24"/>
          <w:lang w:val="en-US"/>
        </w:rPr>
        <w:t>provision of antimicrobials and diagnostics</w:t>
      </w:r>
      <w:r w:rsidR="00574423" w:rsidRPr="000767AE">
        <w:rPr>
          <w:rFonts w:ascii="Arial" w:hAnsi="Arial" w:cs="Arial"/>
          <w:sz w:val="24"/>
          <w:szCs w:val="24"/>
          <w:lang w:val="en-US"/>
        </w:rPr>
        <w:t xml:space="preserve">, </w:t>
      </w:r>
      <w:r w:rsidRPr="000767AE" w:rsidDel="00FC2687">
        <w:rPr>
          <w:rFonts w:ascii="Arial" w:hAnsi="Arial" w:cs="Arial"/>
          <w:sz w:val="24"/>
          <w:szCs w:val="24"/>
          <w:lang w:val="en-US"/>
        </w:rPr>
        <w:t>farming systems</w:t>
      </w:r>
      <w:r w:rsidR="00574423" w:rsidRPr="000767AE">
        <w:rPr>
          <w:rFonts w:ascii="Arial" w:hAnsi="Arial" w:cs="Arial"/>
          <w:sz w:val="24"/>
          <w:szCs w:val="24"/>
          <w:lang w:val="en-US"/>
        </w:rPr>
        <w:t xml:space="preserve"> with</w:t>
      </w:r>
      <w:r w:rsidR="007953C1" w:rsidRPr="000767AE">
        <w:rPr>
          <w:rFonts w:ascii="Arial" w:hAnsi="Arial" w:cs="Arial"/>
          <w:sz w:val="24"/>
          <w:szCs w:val="24"/>
          <w:lang w:val="en-US"/>
        </w:rPr>
        <w:t xml:space="preserve"> sub-optimal </w:t>
      </w:r>
      <w:r w:rsidRPr="000767AE" w:rsidDel="00FC2687">
        <w:rPr>
          <w:rFonts w:ascii="Arial" w:hAnsi="Arial" w:cs="Arial"/>
          <w:sz w:val="24"/>
          <w:szCs w:val="24"/>
          <w:lang w:val="en-US"/>
        </w:rPr>
        <w:t>regulat</w:t>
      </w:r>
      <w:r w:rsidR="007953C1" w:rsidRPr="000767AE">
        <w:rPr>
          <w:rFonts w:ascii="Arial" w:hAnsi="Arial" w:cs="Arial"/>
          <w:sz w:val="24"/>
          <w:szCs w:val="24"/>
          <w:lang w:val="en-US"/>
        </w:rPr>
        <w:t>ion of</w:t>
      </w:r>
      <w:r w:rsidRPr="000767AE" w:rsidDel="00FC2687">
        <w:rPr>
          <w:rFonts w:ascii="Arial" w:hAnsi="Arial" w:cs="Arial"/>
          <w:sz w:val="24"/>
          <w:szCs w:val="24"/>
          <w:lang w:val="en-US"/>
        </w:rPr>
        <w:t xml:space="preserve"> antimicrobials</w:t>
      </w:r>
      <w:r w:rsidR="00574423" w:rsidRPr="000767AE">
        <w:rPr>
          <w:rFonts w:ascii="Arial" w:hAnsi="Arial" w:cs="Arial"/>
          <w:sz w:val="24"/>
          <w:szCs w:val="24"/>
          <w:lang w:val="en-US"/>
        </w:rPr>
        <w:t>,</w:t>
      </w:r>
      <w:r w:rsidRPr="000767AE" w:rsidDel="00FC2687">
        <w:rPr>
          <w:rFonts w:ascii="Arial" w:hAnsi="Arial" w:cs="Arial"/>
          <w:sz w:val="24"/>
          <w:szCs w:val="24"/>
          <w:lang w:val="en-US"/>
        </w:rPr>
        <w:t xml:space="preserve"> and high population </w:t>
      </w:r>
      <w:r w:rsidRPr="00185B0E" w:rsidDel="00FC2687">
        <w:rPr>
          <w:rFonts w:ascii="Arial" w:hAnsi="Arial" w:cs="Arial"/>
          <w:sz w:val="24"/>
          <w:szCs w:val="24"/>
          <w:highlight w:val="yellow"/>
          <w:lang w:val="en-US"/>
        </w:rPr>
        <w:t>densities</w:t>
      </w:r>
      <w:r w:rsidRPr="00185B0E">
        <w:rPr>
          <w:rFonts w:ascii="Arial" w:hAnsi="Arial" w:cs="Arial"/>
          <w:sz w:val="24"/>
          <w:szCs w:val="24"/>
          <w:highlight w:val="yellow"/>
          <w:lang w:val="en-US"/>
        </w:rPr>
        <w:t xml:space="preserve"> (</w:t>
      </w:r>
      <w:r w:rsidR="002A3902" w:rsidRPr="00544E25">
        <w:rPr>
          <w:rFonts w:ascii="Arial" w:hAnsi="Arial" w:cs="Arial"/>
          <w:b/>
          <w:sz w:val="24"/>
          <w:szCs w:val="24"/>
          <w:highlight w:val="yellow"/>
          <w:lang w:val="en-US"/>
        </w:rPr>
        <w:t xml:space="preserve">Figure </w:t>
      </w:r>
      <w:r w:rsidR="007C3760" w:rsidRPr="00544E25">
        <w:rPr>
          <w:rFonts w:ascii="Arial" w:hAnsi="Arial" w:cs="Arial"/>
          <w:b/>
          <w:sz w:val="24"/>
          <w:szCs w:val="24"/>
          <w:highlight w:val="yellow"/>
          <w:lang w:val="en-US"/>
        </w:rPr>
        <w:t>3</w:t>
      </w:r>
      <w:r w:rsidR="006F71B3" w:rsidRPr="00544E25">
        <w:rPr>
          <w:rFonts w:ascii="Arial" w:hAnsi="Arial" w:cs="Arial"/>
          <w:b/>
          <w:sz w:val="24"/>
          <w:szCs w:val="24"/>
          <w:highlight w:val="yellow"/>
          <w:lang w:val="en-US"/>
        </w:rPr>
        <w:t xml:space="preserve"> </w:t>
      </w:r>
      <w:r w:rsidR="006F71B3" w:rsidRPr="00544E25">
        <w:rPr>
          <w:rFonts w:ascii="Arial" w:hAnsi="Arial" w:cs="Arial"/>
          <w:sz w:val="24"/>
          <w:szCs w:val="24"/>
          <w:highlight w:val="yellow"/>
          <w:lang w:val="en-US"/>
        </w:rPr>
        <w:t xml:space="preserve">and </w:t>
      </w:r>
      <w:r w:rsidR="00C8340F" w:rsidRPr="00C8340F">
        <w:rPr>
          <w:rFonts w:ascii="Arial" w:hAnsi="Arial" w:cs="Arial"/>
          <w:b/>
          <w:sz w:val="24"/>
          <w:szCs w:val="24"/>
          <w:highlight w:val="yellow"/>
          <w:lang w:val="en-US"/>
        </w:rPr>
        <w:t>Supplementary</w:t>
      </w:r>
      <w:r w:rsidR="006F71B3" w:rsidRPr="00C8340F">
        <w:rPr>
          <w:rFonts w:ascii="Arial" w:hAnsi="Arial" w:cs="Arial"/>
          <w:b/>
          <w:sz w:val="24"/>
          <w:szCs w:val="24"/>
          <w:highlight w:val="yellow"/>
          <w:lang w:val="en-US"/>
        </w:rPr>
        <w:t xml:space="preserve"> Table 1</w:t>
      </w:r>
      <w:r w:rsidRPr="000767AE">
        <w:rPr>
          <w:rFonts w:ascii="Arial" w:hAnsi="Arial" w:cs="Arial"/>
          <w:sz w:val="24"/>
          <w:szCs w:val="24"/>
          <w:lang w:val="en-US"/>
        </w:rPr>
        <w:t>)</w:t>
      </w:r>
      <w:r w:rsidRPr="000767AE" w:rsidDel="00FC2687">
        <w:rPr>
          <w:rFonts w:ascii="Arial" w:hAnsi="Arial" w:cs="Arial"/>
          <w:sz w:val="24"/>
          <w:szCs w:val="24"/>
          <w:lang w:val="en-US"/>
        </w:rPr>
        <w:t xml:space="preserve">. </w:t>
      </w:r>
      <w:r w:rsidR="00887886" w:rsidRPr="000767AE">
        <w:rPr>
          <w:rFonts w:ascii="Arial" w:hAnsi="Arial" w:cs="Arial"/>
          <w:sz w:val="24"/>
          <w:szCs w:val="24"/>
          <w:lang w:val="en-US"/>
        </w:rPr>
        <w:t>Whilst some of these issues exist in high resource settings, they are likely to represent particularly important drivers of AMR in low and middle income countries.</w:t>
      </w:r>
    </w:p>
    <w:p w14:paraId="17216E59" w14:textId="77777777" w:rsidR="00A053CE" w:rsidRPr="000767AE" w:rsidRDefault="00A053CE" w:rsidP="00A053CE">
      <w:pPr>
        <w:rPr>
          <w:rFonts w:ascii="Arial" w:hAnsi="Arial" w:cs="Arial"/>
          <w:sz w:val="24"/>
          <w:szCs w:val="24"/>
        </w:rPr>
      </w:pPr>
    </w:p>
    <w:p w14:paraId="7893190E" w14:textId="77777777" w:rsidR="00A053CE" w:rsidRPr="000767AE" w:rsidRDefault="00A053CE" w:rsidP="00A053CE">
      <w:pPr>
        <w:rPr>
          <w:rFonts w:ascii="Arial" w:hAnsi="Arial" w:cs="Arial"/>
          <w:sz w:val="24"/>
          <w:szCs w:val="24"/>
        </w:rPr>
      </w:pPr>
    </w:p>
    <w:p w14:paraId="3E352E4A" w14:textId="76FB7D06" w:rsidR="00A053CE" w:rsidRPr="000767AE" w:rsidRDefault="00C94D35" w:rsidP="00A053CE">
      <w:pPr>
        <w:pStyle w:val="Heading2"/>
        <w:spacing w:before="0"/>
        <w:rPr>
          <w:rFonts w:ascii="Arial" w:hAnsi="Arial"/>
          <w:b/>
          <w:sz w:val="24"/>
        </w:rPr>
      </w:pPr>
      <w:r w:rsidRPr="000767AE">
        <w:rPr>
          <w:rFonts w:ascii="Arial" w:hAnsi="Arial"/>
          <w:b/>
          <w:sz w:val="24"/>
        </w:rPr>
        <w:t>T</w:t>
      </w:r>
      <w:r w:rsidR="007F2E48" w:rsidRPr="000767AE">
        <w:rPr>
          <w:rFonts w:ascii="Arial" w:hAnsi="Arial"/>
          <w:b/>
          <w:sz w:val="24"/>
        </w:rPr>
        <w:t>he complex issue</w:t>
      </w:r>
      <w:r w:rsidR="002B017A" w:rsidRPr="000767AE">
        <w:rPr>
          <w:rFonts w:ascii="Arial" w:hAnsi="Arial"/>
          <w:b/>
          <w:sz w:val="24"/>
        </w:rPr>
        <w:t>s</w:t>
      </w:r>
      <w:r w:rsidR="007F2E48" w:rsidRPr="000767AE">
        <w:rPr>
          <w:rFonts w:ascii="Arial" w:hAnsi="Arial"/>
          <w:b/>
          <w:sz w:val="24"/>
        </w:rPr>
        <w:t xml:space="preserve"> of fitness and reversibility </w:t>
      </w:r>
      <w:r w:rsidR="00A1490E" w:rsidRPr="000767AE">
        <w:rPr>
          <w:rFonts w:ascii="Arial" w:hAnsi="Arial"/>
          <w:b/>
          <w:sz w:val="24"/>
        </w:rPr>
        <w:t>of</w:t>
      </w:r>
      <w:r w:rsidR="007F2E48" w:rsidRPr="000767AE">
        <w:rPr>
          <w:rFonts w:ascii="Arial" w:hAnsi="Arial"/>
          <w:b/>
          <w:sz w:val="24"/>
        </w:rPr>
        <w:t xml:space="preserve"> antimicrobial resistance</w:t>
      </w:r>
    </w:p>
    <w:p w14:paraId="193D9EA2" w14:textId="3D52801B" w:rsidR="00A053CE" w:rsidRPr="000767AE" w:rsidRDefault="00A053CE" w:rsidP="00A053CE"/>
    <w:p w14:paraId="6BFB66D8" w14:textId="77777777" w:rsidR="00A053CE" w:rsidRPr="000767AE" w:rsidRDefault="00984997" w:rsidP="00A053CE">
      <w:pPr>
        <w:pStyle w:val="Heading3"/>
        <w:spacing w:before="0"/>
        <w:rPr>
          <w:rFonts w:ascii="Arial" w:hAnsi="Arial"/>
          <w:i/>
          <w:lang w:eastAsia="en-GB"/>
        </w:rPr>
      </w:pPr>
      <w:r w:rsidRPr="000767AE">
        <w:rPr>
          <w:rFonts w:ascii="Arial" w:hAnsi="Arial"/>
          <w:i/>
          <w:lang w:eastAsia="en-GB"/>
        </w:rPr>
        <w:t>1) Does</w:t>
      </w:r>
      <w:r w:rsidR="00A053CE" w:rsidRPr="000767AE">
        <w:rPr>
          <w:rFonts w:ascii="Arial" w:hAnsi="Arial"/>
          <w:i/>
          <w:lang w:eastAsia="en-GB"/>
        </w:rPr>
        <w:t xml:space="preserve"> antimicrobial resistance </w:t>
      </w:r>
      <w:r w:rsidRPr="000767AE">
        <w:rPr>
          <w:rFonts w:ascii="Arial" w:hAnsi="Arial"/>
          <w:i/>
          <w:lang w:eastAsia="en-GB"/>
        </w:rPr>
        <w:t>impact the fitness of</w:t>
      </w:r>
      <w:r w:rsidR="00A053CE" w:rsidRPr="000767AE">
        <w:rPr>
          <w:rFonts w:ascii="Arial" w:hAnsi="Arial"/>
          <w:i/>
          <w:lang w:eastAsia="en-GB"/>
        </w:rPr>
        <w:t xml:space="preserve"> micro-organism</w:t>
      </w:r>
      <w:r w:rsidR="00D90875" w:rsidRPr="000767AE">
        <w:rPr>
          <w:rFonts w:ascii="Arial" w:hAnsi="Arial"/>
          <w:i/>
          <w:lang w:eastAsia="en-GB"/>
        </w:rPr>
        <w:t>s</w:t>
      </w:r>
      <w:r w:rsidR="00A053CE" w:rsidRPr="000767AE">
        <w:rPr>
          <w:rFonts w:ascii="Arial" w:hAnsi="Arial"/>
          <w:i/>
          <w:lang w:eastAsia="en-GB"/>
        </w:rPr>
        <w:t>?</w:t>
      </w:r>
    </w:p>
    <w:p w14:paraId="26A55CF0" w14:textId="0ED8CB6A" w:rsidR="00A053CE" w:rsidRPr="000767AE" w:rsidRDefault="00A053CE" w:rsidP="00A053CE">
      <w:pPr>
        <w:rPr>
          <w:rFonts w:ascii="Arial" w:hAnsi="Arial" w:cs="Arial"/>
          <w:sz w:val="24"/>
          <w:szCs w:val="24"/>
        </w:rPr>
      </w:pPr>
      <w:r w:rsidRPr="000767AE">
        <w:rPr>
          <w:rFonts w:ascii="Arial" w:hAnsi="Arial" w:cs="Arial"/>
          <w:sz w:val="24"/>
          <w:szCs w:val="24"/>
        </w:rPr>
        <w:t xml:space="preserve">There is a perception that </w:t>
      </w:r>
      <w:r w:rsidR="00D810ED" w:rsidRPr="000767AE">
        <w:rPr>
          <w:rFonts w:ascii="Arial" w:hAnsi="Arial" w:cs="Arial"/>
          <w:sz w:val="24"/>
          <w:szCs w:val="24"/>
        </w:rPr>
        <w:t>AMR microbes</w:t>
      </w:r>
      <w:r w:rsidRPr="000767AE">
        <w:rPr>
          <w:rFonts w:ascii="Arial" w:hAnsi="Arial" w:cs="Arial"/>
          <w:sz w:val="24"/>
          <w:szCs w:val="24"/>
        </w:rPr>
        <w:t xml:space="preserve"> may be less fit (i.e</w:t>
      </w:r>
      <w:r w:rsidR="00A332FB" w:rsidRPr="000767AE">
        <w:rPr>
          <w:rFonts w:ascii="Arial" w:hAnsi="Arial" w:cs="Arial"/>
          <w:sz w:val="24"/>
          <w:szCs w:val="24"/>
        </w:rPr>
        <w:t>.</w:t>
      </w:r>
      <w:r w:rsidRPr="000767AE">
        <w:rPr>
          <w:rFonts w:ascii="Arial" w:hAnsi="Arial" w:cs="Arial"/>
          <w:sz w:val="24"/>
          <w:szCs w:val="24"/>
        </w:rPr>
        <w:t xml:space="preserve"> less able to grow or cause an infection) than their antimicrobial susceptible counterparts. This would mean that reducing the burden of resistance might simply be achieved through removing the selective pressure of antimicrobials, lead</w:t>
      </w:r>
      <w:r w:rsidR="00467A9A" w:rsidRPr="000767AE">
        <w:rPr>
          <w:rFonts w:ascii="Arial" w:hAnsi="Arial" w:cs="Arial"/>
          <w:sz w:val="24"/>
          <w:szCs w:val="24"/>
        </w:rPr>
        <w:t>ing</w:t>
      </w:r>
      <w:r w:rsidRPr="000767AE">
        <w:rPr>
          <w:rFonts w:ascii="Arial" w:hAnsi="Arial" w:cs="Arial"/>
          <w:sz w:val="24"/>
          <w:szCs w:val="24"/>
        </w:rPr>
        <w:t xml:space="preserve"> to </w:t>
      </w:r>
      <w:r w:rsidR="00467A9A" w:rsidRPr="000767AE">
        <w:rPr>
          <w:rFonts w:ascii="Arial" w:hAnsi="Arial" w:cs="Arial"/>
          <w:sz w:val="24"/>
          <w:szCs w:val="24"/>
        </w:rPr>
        <w:t xml:space="preserve">AMR </w:t>
      </w:r>
      <w:r w:rsidR="00D810ED" w:rsidRPr="000767AE">
        <w:rPr>
          <w:rFonts w:ascii="Arial" w:hAnsi="Arial" w:cs="Arial"/>
          <w:sz w:val="24"/>
          <w:szCs w:val="24"/>
        </w:rPr>
        <w:t xml:space="preserve">microbes </w:t>
      </w:r>
      <w:r w:rsidRPr="000767AE">
        <w:rPr>
          <w:rFonts w:ascii="Arial" w:hAnsi="Arial" w:cs="Arial"/>
          <w:sz w:val="24"/>
          <w:szCs w:val="24"/>
        </w:rPr>
        <w:t xml:space="preserve">losing out in Darwinian competition with the susceptible strains. Unfortunately, this is frequently not the case and </w:t>
      </w:r>
      <w:r w:rsidR="00453773" w:rsidRPr="000767AE">
        <w:rPr>
          <w:rFonts w:ascii="Arial" w:hAnsi="Arial" w:cs="Arial"/>
          <w:sz w:val="24"/>
          <w:szCs w:val="24"/>
        </w:rPr>
        <w:t>can be demonstrated in</w:t>
      </w:r>
      <w:r w:rsidRPr="000767AE">
        <w:rPr>
          <w:rFonts w:ascii="Arial" w:hAnsi="Arial" w:cs="Arial"/>
          <w:sz w:val="24"/>
          <w:szCs w:val="24"/>
        </w:rPr>
        <w:t xml:space="preserve"> two important classes of antimicrobials</w:t>
      </w:r>
      <w:r w:rsidR="00A1490E" w:rsidRPr="000767AE">
        <w:rPr>
          <w:rFonts w:ascii="Arial" w:hAnsi="Arial" w:cs="Arial"/>
          <w:sz w:val="24"/>
          <w:szCs w:val="24"/>
        </w:rPr>
        <w:t>,</w:t>
      </w:r>
      <w:r w:rsidRPr="000767AE">
        <w:rPr>
          <w:rFonts w:ascii="Arial" w:hAnsi="Arial" w:cs="Arial"/>
          <w:sz w:val="24"/>
          <w:szCs w:val="24"/>
        </w:rPr>
        <w:t xml:space="preserve"> the fluoroquinolones and the β-lactams.</w:t>
      </w:r>
      <w:r w:rsidR="00AC4C47" w:rsidRPr="000767AE">
        <w:rPr>
          <w:rFonts w:ascii="Arial" w:hAnsi="Arial" w:cs="Arial"/>
          <w:sz w:val="24"/>
          <w:szCs w:val="24"/>
        </w:rPr>
        <w:fldChar w:fldCharType="begin" w:fldLock="1"/>
      </w:r>
      <w:r w:rsidR="009E0BAE">
        <w:rPr>
          <w:rFonts w:ascii="Arial" w:hAnsi="Arial" w:cs="Arial"/>
          <w:sz w:val="24"/>
          <w:szCs w:val="24"/>
        </w:rPr>
        <w:instrText>ADDIN CSL_CITATION { "citationItems" : [ { "id" : "ITEM-1", "itemData" : { "DOI" : "10.7554/eLife.01229", "ISSN" : "2050-084X", "PMID" : "24327559", "abstract" : "Fluoroquinolones (FQ) are the recommended antimicrobial treatment for typhoid, a severe systemic infection caused by the bacterium Salmonella enterica serovar Typhi. FQ-resistance mutations in S. Typhi have become common, hindering treatment and control efforts. Using in vitro competition experiments, we assayed the fitness of eleven isogenic S. Typhi strains with resistance mutations in the FQ target genes, gyrA and parC. In the absence of antimicrobial pressure, 6 out of 11 mutants carried a selective advantage over the antimicrobial-sensitive parent strain, indicating that FQ resistance in S. Typhi is not typically associated with fitness costs. Double-mutants exhibited higher than expected fitness as a result of synergistic epistasis, signifying that epistasis may be a critical factor in the evolution and molecular epidemiology of S. Typhi. Our findings have important implications for the management of drug-resistant S. Typhi, suggesting that FQ-resistant strains would be naturally maintained even if fluoroquinolone use were reduced. DOI: http://dx.doi.org/10.7554/eLife.01229.001.", "author" : [ { "dropping-particle" : "", "family" : "Baker", "given" : "Stephen", "non-dropping-particle" : "", "parse-names" : false, "suffix" : "" }, { "dropping-particle" : "", "family" : "Duy", "given" : "Pham Thanh", "non-dropping-particle" : "", "parse-names" : false, "suffix" : "" }, { "dropping-particle" : "", "family" : "Nga", "given" : "Tran Vu Thieu", "non-dropping-particle" : "", "parse-names" : false, "suffix" : "" }, { "dropping-particle" : "", "family" : "Dung", "given" : "Tran Thi Ngoc", "non-dropping-particle" : "", "parse-names" : false, "suffix" : "" }, { "dropping-particle" : "", "family" : "Phat", "given" : "Voong Vinh", "non-dropping-particle" : "", "parse-names" : false, "suffix" : "" }, { "dropping-particle" : "", "family" : "Chau", "given" : "Tran Thuy", "non-dropping-particle" : "", "parse-names" : false, "suffix" : "" }, { "dropping-particle" : "", "family" : "Turner", "given" : "a Keith", "non-dropping-particle" : "", "parse-names" : false, "suffix" : "" }, { "dropping-particle" : "", "family" : "Farrar", "given" : "Jeremy", "non-dropping-particle" : "", "parse-names" : false, "suffix" : "" }, { "dropping-particle" : "", "family" : "Boni", "given" : "Maciej F", "non-dropping-particle" : "", "parse-names" : false, "suffix" : "" } ], "container-title" : "eLife", "id" : "ITEM-1", "issued" : { "date-parts" : [ [ "2013", "1" ] ] }, "page" : "e01229", "title" : "Fitness benefits in fluoroquinolone-resistant Salmonella Typhi in the absence of antimicrobial pressure.", "type" : "article-journal", "volume" : "2" }, "uris" : [ "http://www.mendeley.com/documents/?uuid=6c474402-153b-4469-8c20-213dd8edff8a" ] } ], "mendeley" : { "formattedCitation" : "&lt;sup&gt;72&lt;/sup&gt;", "plainTextFormattedCitation" : "72", "previouslyFormattedCitation" : "&lt;sup&gt;73&lt;/sup&gt;" }, "properties" : { "noteIndex" : 0 }, "schema" : "https://github.com/citation-style-language/schema/raw/master/csl-citation.json" }</w:instrText>
      </w:r>
      <w:r w:rsidR="00AC4C47" w:rsidRPr="000767AE">
        <w:rPr>
          <w:rFonts w:ascii="Arial" w:hAnsi="Arial" w:cs="Arial"/>
          <w:sz w:val="24"/>
          <w:szCs w:val="24"/>
        </w:rPr>
        <w:fldChar w:fldCharType="separate"/>
      </w:r>
      <w:r w:rsidR="009E0BAE" w:rsidRPr="009E0BAE">
        <w:rPr>
          <w:rFonts w:ascii="Arial" w:hAnsi="Arial" w:cs="Arial"/>
          <w:noProof/>
          <w:sz w:val="24"/>
          <w:szCs w:val="24"/>
          <w:vertAlign w:val="superscript"/>
        </w:rPr>
        <w:t>72</w:t>
      </w:r>
      <w:r w:rsidR="00AC4C47" w:rsidRPr="000767AE">
        <w:rPr>
          <w:rFonts w:ascii="Arial" w:hAnsi="Arial" w:cs="Arial"/>
          <w:sz w:val="24"/>
          <w:szCs w:val="24"/>
        </w:rPr>
        <w:fldChar w:fldCharType="end"/>
      </w:r>
    </w:p>
    <w:p w14:paraId="30EB2F64" w14:textId="77777777" w:rsidR="00A053CE" w:rsidRPr="000767AE" w:rsidRDefault="00A053CE" w:rsidP="00A053CE">
      <w:pPr>
        <w:rPr>
          <w:rFonts w:ascii="Arial" w:hAnsi="Arial" w:cs="Arial"/>
          <w:sz w:val="24"/>
          <w:szCs w:val="24"/>
        </w:rPr>
      </w:pPr>
    </w:p>
    <w:p w14:paraId="4985DEC0" w14:textId="6A179DCD" w:rsidR="00A053CE" w:rsidRPr="000767AE" w:rsidRDefault="0089705A" w:rsidP="00A053CE">
      <w:pPr>
        <w:rPr>
          <w:rFonts w:ascii="Arial" w:hAnsi="Arial" w:cs="Arial"/>
          <w:sz w:val="24"/>
          <w:szCs w:val="24"/>
        </w:rPr>
      </w:pPr>
      <w:r w:rsidRPr="000767AE">
        <w:rPr>
          <w:rFonts w:ascii="Arial" w:hAnsi="Arial" w:cs="Arial"/>
          <w:sz w:val="24"/>
          <w:szCs w:val="24"/>
        </w:rPr>
        <w:t>In the case of fluoroquinolones</w:t>
      </w:r>
      <w:r w:rsidR="001D67BD" w:rsidRPr="000767AE">
        <w:rPr>
          <w:rFonts w:ascii="Arial" w:hAnsi="Arial" w:cs="Arial"/>
          <w:sz w:val="24"/>
          <w:szCs w:val="24"/>
        </w:rPr>
        <w:t xml:space="preserve"> (</w:t>
      </w:r>
      <w:r w:rsidR="00A1490E" w:rsidRPr="000767AE">
        <w:rPr>
          <w:rFonts w:ascii="Arial" w:hAnsi="Arial" w:cs="Arial"/>
          <w:sz w:val="24"/>
          <w:szCs w:val="24"/>
        </w:rPr>
        <w:t>man-made</w:t>
      </w:r>
      <w:r w:rsidR="001D67BD" w:rsidRPr="000767AE">
        <w:rPr>
          <w:rFonts w:ascii="Arial" w:hAnsi="Arial" w:cs="Arial"/>
          <w:sz w:val="24"/>
          <w:szCs w:val="24"/>
        </w:rPr>
        <w:t xml:space="preserve"> antimicrobial</w:t>
      </w:r>
      <w:r w:rsidR="00A1490E" w:rsidRPr="000767AE">
        <w:rPr>
          <w:rFonts w:ascii="Arial" w:hAnsi="Arial" w:cs="Arial"/>
          <w:sz w:val="24"/>
          <w:szCs w:val="24"/>
        </w:rPr>
        <w:t>s</w:t>
      </w:r>
      <w:r w:rsidR="001D67BD" w:rsidRPr="000767AE">
        <w:rPr>
          <w:rFonts w:ascii="Arial" w:hAnsi="Arial" w:cs="Arial"/>
          <w:sz w:val="24"/>
          <w:szCs w:val="24"/>
        </w:rPr>
        <w:t>)</w:t>
      </w:r>
      <w:r w:rsidRPr="000767AE">
        <w:rPr>
          <w:rFonts w:ascii="Arial" w:hAnsi="Arial" w:cs="Arial"/>
          <w:sz w:val="24"/>
          <w:szCs w:val="24"/>
        </w:rPr>
        <w:t>, c</w:t>
      </w:r>
      <w:r w:rsidR="00082A90" w:rsidRPr="000767AE">
        <w:rPr>
          <w:rFonts w:ascii="Arial" w:hAnsi="Arial" w:cs="Arial"/>
          <w:sz w:val="24"/>
          <w:szCs w:val="24"/>
        </w:rPr>
        <w:t xml:space="preserve">lonal </w:t>
      </w:r>
      <w:r w:rsidR="00A053CE" w:rsidRPr="000767AE">
        <w:rPr>
          <w:rFonts w:ascii="Arial" w:hAnsi="Arial" w:cs="Arial"/>
          <w:sz w:val="24"/>
          <w:szCs w:val="24"/>
        </w:rPr>
        <w:t xml:space="preserve">expansion has given rise to </w:t>
      </w:r>
      <w:r w:rsidR="00082A90" w:rsidRPr="000767AE">
        <w:rPr>
          <w:rFonts w:ascii="Arial" w:hAnsi="Arial" w:cs="Arial"/>
          <w:sz w:val="24"/>
          <w:szCs w:val="24"/>
        </w:rPr>
        <w:t xml:space="preserve">a </w:t>
      </w:r>
      <w:r w:rsidR="001D67BD" w:rsidRPr="000767AE">
        <w:rPr>
          <w:rFonts w:ascii="Arial" w:hAnsi="Arial" w:cs="Arial"/>
          <w:sz w:val="24"/>
          <w:szCs w:val="24"/>
        </w:rPr>
        <w:t xml:space="preserve">global </w:t>
      </w:r>
      <w:r w:rsidR="00A053CE" w:rsidRPr="000767AE">
        <w:rPr>
          <w:rFonts w:ascii="Arial" w:hAnsi="Arial" w:cs="Arial"/>
          <w:sz w:val="24"/>
          <w:szCs w:val="24"/>
        </w:rPr>
        <w:t xml:space="preserve">high prevalence of </w:t>
      </w:r>
      <w:r w:rsidR="001D67BD" w:rsidRPr="000767AE">
        <w:rPr>
          <w:rFonts w:ascii="Arial" w:hAnsi="Arial" w:cs="Arial"/>
          <w:sz w:val="24"/>
          <w:szCs w:val="24"/>
        </w:rPr>
        <w:t>resistance among s</w:t>
      </w:r>
      <w:r w:rsidR="00082A90" w:rsidRPr="000767AE">
        <w:rPr>
          <w:rFonts w:ascii="Arial" w:hAnsi="Arial" w:cs="Arial"/>
          <w:sz w:val="24"/>
          <w:szCs w:val="24"/>
        </w:rPr>
        <w:t xml:space="preserve">everal </w:t>
      </w:r>
      <w:r w:rsidR="00A053CE" w:rsidRPr="000767AE">
        <w:rPr>
          <w:rFonts w:ascii="Arial" w:hAnsi="Arial" w:cs="Arial"/>
          <w:sz w:val="24"/>
          <w:szCs w:val="24"/>
        </w:rPr>
        <w:t>bacteria</w:t>
      </w:r>
      <w:r w:rsidR="00A1490E" w:rsidRPr="000767AE">
        <w:rPr>
          <w:rFonts w:ascii="Arial" w:hAnsi="Arial" w:cs="Arial"/>
          <w:sz w:val="24"/>
          <w:szCs w:val="24"/>
        </w:rPr>
        <w:t>. This is</w:t>
      </w:r>
      <w:r w:rsidR="00082A90" w:rsidRPr="000767AE">
        <w:rPr>
          <w:rFonts w:ascii="Arial" w:hAnsi="Arial" w:cs="Arial"/>
          <w:sz w:val="24"/>
          <w:szCs w:val="24"/>
        </w:rPr>
        <w:t xml:space="preserve"> </w:t>
      </w:r>
      <w:r w:rsidR="00A053CE" w:rsidRPr="000767AE">
        <w:rPr>
          <w:rFonts w:ascii="Arial" w:hAnsi="Arial" w:cs="Arial"/>
          <w:sz w:val="24"/>
          <w:szCs w:val="24"/>
        </w:rPr>
        <w:t xml:space="preserve">exemplified </w:t>
      </w:r>
      <w:r w:rsidR="00082A90" w:rsidRPr="000767AE">
        <w:rPr>
          <w:rFonts w:ascii="Arial" w:hAnsi="Arial" w:cs="Arial"/>
          <w:sz w:val="24"/>
          <w:szCs w:val="24"/>
        </w:rPr>
        <w:t>by</w:t>
      </w:r>
      <w:r w:rsidR="00A053CE" w:rsidRPr="000767AE">
        <w:rPr>
          <w:rFonts w:ascii="Arial" w:hAnsi="Arial" w:cs="Arial"/>
          <w:sz w:val="24"/>
          <w:szCs w:val="24"/>
        </w:rPr>
        <w:t xml:space="preserve"> whole genome sequenc</w:t>
      </w:r>
      <w:r w:rsidR="00082A90" w:rsidRPr="000767AE">
        <w:rPr>
          <w:rFonts w:ascii="Arial" w:hAnsi="Arial" w:cs="Arial"/>
          <w:sz w:val="24"/>
          <w:szCs w:val="24"/>
        </w:rPr>
        <w:t>ing</w:t>
      </w:r>
      <w:r w:rsidR="00A053CE" w:rsidRPr="000767AE">
        <w:rPr>
          <w:rFonts w:ascii="Arial" w:hAnsi="Arial" w:cs="Arial"/>
          <w:sz w:val="24"/>
          <w:szCs w:val="24"/>
        </w:rPr>
        <w:t xml:space="preserve"> of an epidemic MRSA strain (EMRSA-15; ST22)</w:t>
      </w:r>
      <w:r w:rsidR="00A053CE" w:rsidRPr="000767AE">
        <w:rPr>
          <w:rFonts w:ascii="Arial" w:hAnsi="Arial" w:cs="Arial"/>
          <w:sz w:val="24"/>
          <w:szCs w:val="24"/>
        </w:rPr>
        <w:fldChar w:fldCharType="begin" w:fldLock="1"/>
      </w:r>
      <w:r w:rsidR="009E0BAE">
        <w:rPr>
          <w:rFonts w:ascii="Arial" w:hAnsi="Arial" w:cs="Arial"/>
          <w:sz w:val="24"/>
          <w:szCs w:val="24"/>
        </w:rPr>
        <w:instrText>ADDIN CSL_CITATION { "citationItems" : [ { "id" : "ITEM-1", "itemData" : { "DOI" : "10.1101/gr.147710.112", "ISSN" : "1549-5469", "PMID" : "23299977", "abstract" : "The widespread use of antibiotics in association with high-density clinical care has driven the emergence of drug-resistant bacteria that are adapted to thrive in hospitalized patients. Of particular concern are globally disseminated methicillin-resistant Staphylococcus aureus (MRSA) clones that cause outbreaks and epidemics associated with health care. The most rapidly spreading and tenacious health-care-associated clone in Europe currently is EMRSA-15, which was first detected in the UK in the early 1990s and subsequently spread throughout Europe and beyond. Using phylogenomic methods to analyze the genome sequences for 193 S. aureus isolates, we were able to show that the current pandemic population of EMRSA-15 descends from a health-care-associated MRSA epidemic that spread throughout England in the 1980s, which had itself previously emerged from a primarily community-associated methicillin-sensitive population. The emergence of fluoroquinolone resistance in this EMRSA-15 subclone in the English Midlands during the mid-1980s appears to have played a key role in triggering pandemic spread, and occurred shortly after the first clinical trials of this drug. Genome-based coalescence analysis estimated that the population of this subclone over the last 20 yr has grown four times faster than its progenitor. Using comparative genomic analysis we identified the molecular genetic basis of 99.8% of the antimicrobial resistance phenotypes of the isolates, highlighting the potential of pathogen genome sequencing as a diagnostic tool. We document the genetic changes associated with adaptation to the hospital environment and with increasing drug resistance over time, and how MRSA evolution likely has been influenced by country-specific drug use regimens.", "author" : [ { "dropping-particle" : "", "family" : "Holden", "given" : "Matthew T G", "non-dropping-particle" : "", "parse-names" : false, "suffix" : "" }, { "dropping-particle" : "", "family" : "Hsu", "given" : "Li-Yang", "non-dropping-particle" : "", "parse-names" : false, "suffix" : "" }, { "dropping-particle" : "", "family" : "Kurt", "given" : "Kevin", "non-dropping-particle" : "", "parse-names" : false, "suffix" : "" }, { "dropping-particle" : "", "family" : "Weinert", "given" : "Lucy a", "non-dropping-particle" : "", "parse-names" : false, "suffix" : "" }, { "dropping-particle" : "", "family" : "Mather", "given" : "Alison E", "non-dropping-particle" : "", "parse-names" : false, "suffix" : "" }, { "dropping-particle" : "", "family" : "Harris", "given" : "Simon R", "non-dropping-particle" : "", "parse-names" : false, "suffix" : "" }, { "dropping-particle" : "", "family" : "Strommenger", "given" : "Birgit", "non-dropping-particle" : "", "parse-names" : false, "suffix" : "" }, { "dropping-particle" : "", "family" : "Layer", "given" : "Franziska", "non-dropping-particle" : "", "parse-names" : false, "suffix" : "" }, { "dropping-particle" : "", "family" : "Witte", "given" : "Wolfgang", "non-dropping-particle" : "", "parse-names" : false, "suffix" : "" }, { "dropping-particle" : "", "family" : "Lencastre", "given" : "Herminia", "non-dropping-particle" : "de", "parse-names" : false, "suffix" : "" }, { "dropping-particle" : "", "family" : "Skov", "given" : "Robert", "non-dropping-particle" : "", "parse-names" : false, "suffix" : "" }, { "dropping-particle" : "", "family" : "Westh", "given" : "Henrik", "non-dropping-particle" : "", "parse-names" : false, "suffix" : "" }, { "dropping-particle" : "", "family" : "Zemlickov\u00e1", "given" : "Helena", "non-dropping-particle" : "", "parse-names" : false, "suffix" : "" }, { "dropping-particle" : "", "family" : "Coombs", "given" : "Geoffrey", "non-dropping-particle" : "", "parse-names" : false, "suffix" : "" }, { "dropping-particle" : "", "family" : "Kearns", "given" : "Angela M", "non-dropping-particle" : "", "parse-names" : false, "suffix" : "" }, { "dropping-particle" : "", "family" : "Hill", "given" : "Robert L R", "non-dropping-particle" : "", "parse-names" : false, "suffix" : "" }, { "dropping-particle" : "", "family" : "Edgeworth", "given" : "Jonathan", "non-dropping-particle" : "", "parse-names" : false, "suffix" : "" }, { "dropping-particle" : "", "family" : "Gould", "given" : "Ian", "non-dropping-particle" : "", "parse-names" : false, "suffix" : "" }, { "dropping-particle" : "", "family" : "Gant", "given" : "Vanya", "non-dropping-particle" : "", "parse-names" : false, "suffix" : "" }, { "dropping-particle" : "", "family" : "Cooke", "given" : "Jonathan", "non-dropping-particle" : "", "parse-names" : false, "suffix" : "" }, { "dropping-particle" : "", "family" : "Edwards", "given" : "Giles F", "non-dropping-particle" : "", "parse-names" : false, "suffix" : "" }, { "dropping-particle" : "", "family" : "McAdam", "given" : "Paul R", "non-dropping-particle" : "", "parse-names" : false, "suffix" : "" }, { "dropping-particle" : "", "family" : "Templeton", "given" : "Kate E", "non-dropping-particle" : "", "parse-names" : false, "suffix" : "" }, { "dropping-particle" : "", "family" : "McCann", "given" : "Angela", "non-dropping-particle" : "", "parse-names" : false, "suffix" : "" }, { "dropping-particle" : "", "family" : "Zhou", "given" : "Zhemin", "non-dropping-particle" : "", "parse-names" : false, "suffix" : "" }, { "dropping-particle" : "", "family" : "Castillo-Ram\u00edrez", "given" : "Santiago", "non-dropping-particle" : "", "parse-names" : false, "suffix" : "" }, { "dropping-particle" : "", "family" : "Feil", "given" : "Edward J", "non-dropping-particle" : "", "parse-names" : false, "suffix" : "" }, { "dropping-particle" : "", "family" : "Hudson", "given" : "Lyndsey O", "non-dropping-particle" : "", "parse-names" : false, "suffix" : "" }, { "dropping-particle" : "", "family" : "Enright", "given" : "Mark C", "non-dropping-particle" : "", "parse-names" : false, "suffix" : "" }, { "dropping-particle" : "", "family" : "Balloux", "given" : "Francois", "non-dropping-particle" : "", "parse-names" : false, "suffix" : "" }, { "dropping-particle" : "", "family" : "Aanensen", "given" : "David M", "non-dropping-particle" : "", "parse-names" : false, "suffix" : "" }, { "dropping-particle" : "", "family" : "Spratt", "given" : "Brian G", "non-dropping-particle" : "", "parse-names" : false, "suffix" : "" }, { "dropping-particle" : "", "family" : "Fitzgerald", "given" : "J Ross", "non-dropping-particle" : "", "parse-names" : false, "suffix" : "" }, { "dropping-particle" : "", "family" : "Parkhill", "given" : "Julian", "non-dropping-particle" : "", "parse-names" : false, "suffix" : "" }, { "dropping-particle" : "", "family" : "Achtman", "given" : "Mark", "non-dropping-particle" : "", "parse-names" : false, "suffix" : "" }, { "dropping-particle" : "", "family" : "Bentley", "given" : "Stephen D", "non-dropping-particle" : "", "parse-names" : false, "suffix" : "" }, { "dropping-particle" : "", "family" : "N\u00fcbel", "given" : "Ulrich", "non-dropping-particle" : "", "parse-names" : false, "suffix" : "" } ], "container-title" : "Genome Research", "id" : "ITEM-1", "issue" : "4", "issued" : { "date-parts" : [ [ "2013", "4" ] ] }, "page" : "653-64", "title" : "A genomic portrait of the emergence, evolution, and global spread of a methicillin-resistant Staphylococcus aureus pandemic.", "type" : "article-journal", "volume" : "23" }, "uris" : [ "http://www.mendeley.com/documents/?uuid=3bc16ff8-280f-4225-9ad8-9763d3d3d670" ] } ], "mendeley" : { "formattedCitation" : "&lt;sup&gt;73&lt;/sup&gt;", "plainTextFormattedCitation" : "73", "previouslyFormattedCitation" : "&lt;sup&gt;74&lt;/sup&gt;" }, "properties" : { "noteIndex" : 0 }, "schema" : "https://github.com/citation-style-language/schema/raw/master/csl-citation.json" }</w:instrText>
      </w:r>
      <w:r w:rsidR="00A053CE" w:rsidRPr="000767AE">
        <w:rPr>
          <w:rFonts w:ascii="Arial" w:hAnsi="Arial" w:cs="Arial"/>
          <w:sz w:val="24"/>
          <w:szCs w:val="24"/>
        </w:rPr>
        <w:fldChar w:fldCharType="separate"/>
      </w:r>
      <w:r w:rsidR="009E0BAE" w:rsidRPr="009E0BAE">
        <w:rPr>
          <w:rFonts w:ascii="Arial" w:hAnsi="Arial" w:cs="Arial"/>
          <w:noProof/>
          <w:sz w:val="24"/>
          <w:szCs w:val="24"/>
          <w:vertAlign w:val="superscript"/>
        </w:rPr>
        <w:t>73</w:t>
      </w:r>
      <w:r w:rsidR="00A053CE" w:rsidRPr="000767AE">
        <w:rPr>
          <w:rFonts w:ascii="Arial" w:hAnsi="Arial" w:cs="Arial"/>
          <w:sz w:val="24"/>
          <w:szCs w:val="24"/>
        </w:rPr>
        <w:fldChar w:fldCharType="end"/>
      </w:r>
      <w:r w:rsidR="00A053CE" w:rsidRPr="000767AE">
        <w:rPr>
          <w:rFonts w:ascii="Arial" w:hAnsi="Arial" w:cs="Arial"/>
          <w:sz w:val="24"/>
          <w:szCs w:val="24"/>
        </w:rPr>
        <w:t xml:space="preserve"> and </w:t>
      </w:r>
      <w:r w:rsidR="00A053CE" w:rsidRPr="000767AE">
        <w:rPr>
          <w:rFonts w:ascii="Arial" w:hAnsi="Arial" w:cs="Arial"/>
          <w:i/>
          <w:sz w:val="24"/>
          <w:szCs w:val="24"/>
        </w:rPr>
        <w:t>Clostridium</w:t>
      </w:r>
      <w:r w:rsidR="00A053CE" w:rsidRPr="000767AE">
        <w:rPr>
          <w:rFonts w:ascii="Arial" w:hAnsi="Arial" w:cs="Arial"/>
          <w:sz w:val="24"/>
          <w:szCs w:val="24"/>
        </w:rPr>
        <w:t xml:space="preserve"> </w:t>
      </w:r>
      <w:r w:rsidR="00A053CE" w:rsidRPr="000767AE">
        <w:rPr>
          <w:rFonts w:ascii="Arial" w:hAnsi="Arial" w:cs="Arial"/>
          <w:i/>
          <w:sz w:val="24"/>
          <w:szCs w:val="24"/>
        </w:rPr>
        <w:t>difficile</w:t>
      </w:r>
      <w:r w:rsidR="00A053CE" w:rsidRPr="000767AE">
        <w:rPr>
          <w:rFonts w:ascii="Arial" w:hAnsi="Arial" w:cs="Arial"/>
          <w:sz w:val="24"/>
          <w:szCs w:val="24"/>
        </w:rPr>
        <w:t xml:space="preserve"> O27</w:t>
      </w:r>
      <w:r w:rsidRPr="000767AE">
        <w:rPr>
          <w:rFonts w:ascii="Arial" w:hAnsi="Arial" w:cs="Arial"/>
          <w:sz w:val="24"/>
          <w:szCs w:val="24"/>
        </w:rPr>
        <w:t>.</w:t>
      </w:r>
      <w:r w:rsidRPr="000767AE">
        <w:rPr>
          <w:rFonts w:ascii="Arial" w:hAnsi="Arial" w:cs="Arial"/>
          <w:sz w:val="24"/>
          <w:szCs w:val="24"/>
        </w:rPr>
        <w:fldChar w:fldCharType="begin" w:fldLock="1"/>
      </w:r>
      <w:r w:rsidR="009E0BAE">
        <w:rPr>
          <w:rFonts w:ascii="Arial" w:hAnsi="Arial" w:cs="Arial"/>
          <w:sz w:val="24"/>
          <w:szCs w:val="24"/>
        </w:rPr>
        <w:instrText>ADDIN CSL_CITATION { "citationItems" : [ { "id" : "ITEM-1", "itemData" : { "DOI" : "10.1038/ng.2478.Emergence", "author" : [ { "dropping-particle" : "", "family" : "He", "given" : "Miao", "non-dropping-particle" : "", "parse-names" : false, "suffix" : "" }, { "dropping-particle" : "", "family" : "Miyajima", "given" : "Fabio", "non-dropping-particle" : "", "parse-names" : false, "suffix" : "" }, { "dropping-particle" : "", "family" : "Roberts", "given" : "Paul", "non-dropping-particle" : "", "parse-names" : false, "suffix" : "" }, { "dropping-particle" : "", "family" : "Ellison", "given" : "Louise", "non-dropping-particle" : "", "parse-names" : false, "suffix" : "" }, { "dropping-particle" : "", "family" : "Pickard", "given" : "Derek J", "non-dropping-particle" : "", "parse-names" : false, "suffix" : "" }, { "dropping-particle" : "", "family" : "Martin", "given" : "Melissa J", "non-dropping-particle" : "", "parse-names" : false, "suffix" : "" }, { "dropping-particle" : "", "family" : "Connor", "given" : "Thomas R", "non-dropping-particle" : "", "parse-names" : false, "suffix" : "" }, { "dropping-particle" : "", "family" : "Harris", "given" : "Simon R", "non-dropping-particle" : "", "parse-names" : false, "suffix" : "" }, { "dropping-particle" : "", "family" : "Fairley", "given" : "Derek", "non-dropping-particle" : "", "parse-names" : false, "suffix" : "" }, { "dropping-particle" : "", "family" : "Bamford", "given" : "Kathleen B", "non-dropping-particle" : "", "parse-names" : false, "suffix" : "" }, { "dropping-particle" : "", "family" : "D'Arc", "given" : "Stephanie", "non-dropping-particle" : "", "parse-names" : false, "suffix" : "" }, { "dropping-particle" : "", "family" : "Brazier", "given" : "Jon", "non-dropping-particle" : "", "parse-names" : false, "suffix" : "" }, { "dropping-particle" : "", "family" : "Brown", "given" : "Derek", "non-dropping-particle" : "", "parse-names" : false, "suffix" : "" }, { "dropping-particle" : "", "family" : "Coia", "given" : "John E", "non-dropping-particle" : "", "parse-names" : false, "suffix" : "" }, { "dropping-particle" : "", "family" : "Douce", "given" : "Gill", "non-dropping-particle" : "", "parse-names" : false, "suffix" : "" }, { "dropping-particle" : "", "family" : "Gerding", "given" : "Dale", "non-dropping-particle" : "", "parse-names" : false, "suffix" : "" }, { "dropping-particle" : "", "family" : "Kim", "given" : "HeeJung", "non-dropping-particle" : "", "parse-names" : false, "suffix" : "" }, { "dropping-particle" : "", "family" : "Koh", "given" : "Tse Hsien", "non-dropping-particle" : "", "parse-names" : false, "suffix" : "" }, { "dropping-particle" : "", "family" : "Kato", "given" : "Haru", "non-dropping-particle" : "", "parse-names" : false, "suffix" : "" }, { "dropping-particle" : "", "family" : "Senoh", "given" : "Mitsutoshi", "non-dropping-particle" : "", "parse-names" : false, "suffix" : "" }, { "dropping-particle" : "", "family" : "Louie", "given" : "Tom", "non-dropping-particle" : "", "parse-names" : false, "suffix" : "" }, { "dropping-particle" : "", "family" : "Michell", "given" : "Stephen", "non-dropping-particle" : "", "parse-names" : false, "suffix" : "" }, { "dropping-particle" : "", "family" : "Butt", "given" : "Emma", "non-dropping-particle" : "", "parse-names" : false, "suffix" : "" }, { "dropping-particle" : "", "family" : "Peacock", "given" : "Sharon J", "non-dropping-particle" : "", "parse-names" : false, "suffix" : "" }, { "dropping-particle" : "", "family" : "Brown", "given" : "Nick M", "non-dropping-particle" : "", "parse-names" : false, "suffix" : "" }, { "dropping-particle" : "", "family" : "Riley", "given" : "Tom", "non-dropping-particle" : "", "parse-names" : false, "suffix" : "" }, { "dropping-particle" : "", "family" : "Songer", "given" : "Glen", "non-dropping-particle" : "", "parse-names" : false, "suffix" : "" }, { "dropping-particle" : "", "family" : "Wilcox", "given" : "Mark", "non-dropping-particle" : "", "parse-names" : false, "suffix" : "" }, { "dropping-particle" : "", "family" : "Pirmohamed", "given" : "Munir", "non-dropping-particle" : "", "parse-names" : false, "suffix" : "" }, { "dropping-particle" : "", "family" : "Kuijper", "given" : "Ed", "non-dropping-particle" : "", "parse-names" : false, "suffix" : "" }, { "dropping-particle" : "", "family" : "Hawkeye", "given" : "Peter", "non-dropping-particle" : "", "parse-names" : false, "suffix" : "" }, { "dropping-particle" : "", "family" : "Wren", "given" : "Brenden W", "non-dropping-particle" : "", "parse-names" : false, "suffix" : "" }, { "dropping-particle" : "", "family" : "Dougan", "given" : "GOrdan", "non-dropping-particle" : "", "parse-names" : false, "suffix" : "" }, { "dropping-particle" : "", "family" : "Parkhill", "given" : "Julian", "non-dropping-particle" : "", "parse-names" : false, "suffix" : "" }, { "dropping-particle" : "", "family" : "Lawley", "given" : "Trevor D", "non-dropping-particle" : "", "parse-names" : false, "suffix" : "" } ], "container-title" : "Nature Genetics", "id" : "ITEM-1", "issue" : "1", "issued" : { "date-parts" : [ [ "2013" ] ] }, "page" : "109-113", "title" : "Emergence and global spread of epidemic healthcare-associated Clostridium difficile.", "type" : "article-journal", "volume" : "45" }, "uris" : [ "http://www.mendeley.com/documents/?uuid=9167b494-2e5a-4a60-9e96-d46fc5bbec58" ] } ], "mendeley" : { "formattedCitation" : "&lt;sup&gt;74&lt;/sup&gt;", "plainTextFormattedCitation" : "74", "previouslyFormattedCitation" : "&lt;sup&gt;75&lt;/sup&gt;" }, "properties" : { "noteIndex" : 0 }, "schema" : "https://github.com/citation-style-language/schema/raw/master/csl-citation.json" }</w:instrText>
      </w:r>
      <w:r w:rsidRPr="000767AE">
        <w:rPr>
          <w:rFonts w:ascii="Arial" w:hAnsi="Arial" w:cs="Arial"/>
          <w:sz w:val="24"/>
          <w:szCs w:val="24"/>
        </w:rPr>
        <w:fldChar w:fldCharType="separate"/>
      </w:r>
      <w:r w:rsidR="009E0BAE" w:rsidRPr="009E0BAE">
        <w:rPr>
          <w:rFonts w:ascii="Arial" w:hAnsi="Arial" w:cs="Arial"/>
          <w:noProof/>
          <w:sz w:val="24"/>
          <w:szCs w:val="24"/>
          <w:vertAlign w:val="superscript"/>
        </w:rPr>
        <w:t>74</w:t>
      </w:r>
      <w:r w:rsidRPr="000767AE">
        <w:rPr>
          <w:rFonts w:ascii="Arial" w:hAnsi="Arial" w:cs="Arial"/>
          <w:sz w:val="24"/>
          <w:szCs w:val="24"/>
        </w:rPr>
        <w:fldChar w:fldCharType="end"/>
      </w:r>
      <w:r w:rsidR="00453773" w:rsidRPr="000767AE">
        <w:rPr>
          <w:rFonts w:ascii="Arial" w:hAnsi="Arial" w:cs="Arial"/>
          <w:sz w:val="24"/>
          <w:szCs w:val="24"/>
        </w:rPr>
        <w:t xml:space="preserve"> </w:t>
      </w:r>
      <w:r w:rsidR="001D67BD" w:rsidRPr="000767AE">
        <w:rPr>
          <w:rFonts w:ascii="Arial" w:hAnsi="Arial" w:cs="Arial"/>
          <w:sz w:val="24"/>
          <w:szCs w:val="24"/>
        </w:rPr>
        <w:t>Furthermore, there is widespread dissemination of f</w:t>
      </w:r>
      <w:r w:rsidR="00A053CE" w:rsidRPr="000767AE">
        <w:rPr>
          <w:rFonts w:ascii="Arial" w:hAnsi="Arial" w:cs="Arial"/>
          <w:sz w:val="24"/>
          <w:szCs w:val="24"/>
        </w:rPr>
        <w:t xml:space="preserve">luoroquinolone-resistant clones of </w:t>
      </w:r>
      <w:r w:rsidR="00A053CE" w:rsidRPr="000767AE">
        <w:rPr>
          <w:rFonts w:ascii="Arial" w:hAnsi="Arial" w:cs="Arial"/>
          <w:i/>
          <w:sz w:val="24"/>
          <w:szCs w:val="24"/>
        </w:rPr>
        <w:t>E. coli</w:t>
      </w:r>
      <w:r w:rsidR="00A053CE" w:rsidRPr="000767AE">
        <w:rPr>
          <w:rFonts w:ascii="Arial" w:hAnsi="Arial" w:cs="Arial"/>
          <w:sz w:val="24"/>
          <w:szCs w:val="24"/>
        </w:rPr>
        <w:t xml:space="preserve"> ST131</w:t>
      </w:r>
      <w:r w:rsidR="00185B0E" w:rsidRPr="000719B7">
        <w:rPr>
          <w:rFonts w:ascii="Arial" w:hAnsi="Arial" w:cs="Arial"/>
          <w:sz w:val="24"/>
          <w:szCs w:val="24"/>
          <w:highlight w:val="yellow"/>
        </w:rPr>
        <w:t>,</w:t>
      </w:r>
      <w:r w:rsidR="00185B0E" w:rsidRPr="000719B7">
        <w:rPr>
          <w:rFonts w:ascii="Arial" w:hAnsi="Arial" w:cs="Arial"/>
          <w:sz w:val="24"/>
          <w:szCs w:val="24"/>
          <w:highlight w:val="yellow"/>
        </w:rPr>
        <w:fldChar w:fldCharType="begin" w:fldLock="1"/>
      </w:r>
      <w:r w:rsidR="009E0BAE">
        <w:rPr>
          <w:rFonts w:ascii="Arial" w:hAnsi="Arial" w:cs="Arial"/>
          <w:sz w:val="24"/>
          <w:szCs w:val="24"/>
          <w:highlight w:val="yellow"/>
        </w:rPr>
        <w:instrText>ADDIN CSL_CITATION { "citationItems" : [ { "id" : "ITEM-1", "itemData" : { "DOI" : "10.1093/jac/dks515", "ISSN" : "1460-2091", "PMID" : "23299573", "abstract" : "OBJECTIVES: To determine rates of carriage of fluoroquinolone-resistant Escherichia coli and extraintestinal pathogenic E. coli (ExPEC) among dogs in a specialist referral hospital and to examine the population structure of the isolates. METHODS: Fluoroquinolone-resistant faecal E. coli isolates (n = 232, from 23 of 123 dogs) recovered from hospitalized dogs in a veterinary referral centre in Sydney, Australia, over 140 days in 2009 were characterized by phylogenetic grouping, virulence genotyping and random amplified polymorphic DNA (RAPD) analysis. RESULTS: The RAPD dendrogram for representative isolates showed one group B2-associated cluster and three group D-associated clusters; each contained isolates with closely related ExPEC-associated virulence profiles. All group B2 faecal isolates represented the O25b-ST131 clonal group and were closely related to recent canine extraintestinal ST131 clinical isolates from the east coast of Australia by RAPD analysis. CONCLUSIONS: Hospitalized dogs may carry fluoroquinolone-resistant ExPEC in their faeces, including those representing O25b-ST131.", "author" : [ { "dropping-particle" : "", "family" : "Guo", "given" : "Siyu", "non-dropping-particle" : "", "parse-names" : false, "suffix" : "" }, { "dropping-particle" : "", "family" : "Brouwers", "given" : "Huub J M", "non-dropping-particle" : "", "parse-names" : false, "suffix" : "" }, { "dropping-particle" : "", "family" : "Cobbold", "given" : "Rowland N", "non-dropping-particle" : "", "parse-names" : false, "suffix" : "" }, { "dropping-particle" : "", "family" : "Platell", "given" : "Joanne L", "non-dropping-particle" : "", "parse-names" : false, "suffix" : "" }, { "dropping-particle" : "", "family" : "Chapman", "given" : "Toni A", "non-dropping-particle" : "", "parse-names" : false, "suffix" : "" }, { "dropping-particle" : "", "family" : "Barrs", "given" : "Vanessa R", "non-dropping-particle" : "", "parse-names" : false, "suffix" : "" }, { "dropping-particle" : "", "family" : "Johnson", "given" : "James R", "non-dropping-particle" : "", "parse-names" : false, "suffix" : "" }, { "dropping-particle" : "", "family" : "Trott", "given" : "Darren J", "non-dropping-particle" : "", "parse-names" : false, "suffix" : "" } ], "container-title" : "Journal of Antimicrobial Chemotherapy", "id" : "ITEM-1", "issue" : "5", "issued" : { "date-parts" : [ [ "2013", "5" ] ] }, "page" : "1025-31", "title" : "Fluoroquinolone-resistant extraintestinal pathogenic Escherichia coli, including O25b-ST131, isolated from faeces of hospitalized dogs in an Australian veterinary referral centre.", "type" : "article-journal", "volume" : "68" }, "uris" : [ "http://www.mendeley.com/documents/?uuid=c894097d-c586-4939-bf89-3fa9bacdf5e0" ] } ], "mendeley" : { "formattedCitation" : "&lt;sup&gt;75&lt;/sup&gt;", "plainTextFormattedCitation" : "75", "previouslyFormattedCitation" : "&lt;sup&gt;76&lt;/sup&gt;" }, "properties" : { "noteIndex" : 0 }, "schema" : "https://github.com/citation-style-language/schema/raw/master/csl-citation.json" }</w:instrText>
      </w:r>
      <w:r w:rsidR="00185B0E" w:rsidRPr="000719B7">
        <w:rPr>
          <w:rFonts w:ascii="Arial" w:hAnsi="Arial" w:cs="Arial"/>
          <w:sz w:val="24"/>
          <w:szCs w:val="24"/>
          <w:highlight w:val="yellow"/>
        </w:rPr>
        <w:fldChar w:fldCharType="separate"/>
      </w:r>
      <w:r w:rsidR="009E0BAE" w:rsidRPr="009E0BAE">
        <w:rPr>
          <w:rFonts w:ascii="Arial" w:hAnsi="Arial" w:cs="Arial"/>
          <w:noProof/>
          <w:sz w:val="24"/>
          <w:szCs w:val="24"/>
          <w:highlight w:val="yellow"/>
          <w:vertAlign w:val="superscript"/>
        </w:rPr>
        <w:t>75</w:t>
      </w:r>
      <w:r w:rsidR="00185B0E" w:rsidRPr="000719B7">
        <w:rPr>
          <w:rFonts w:ascii="Arial" w:hAnsi="Arial" w:cs="Arial"/>
          <w:sz w:val="24"/>
          <w:szCs w:val="24"/>
          <w:highlight w:val="yellow"/>
        </w:rPr>
        <w:fldChar w:fldCharType="end"/>
      </w:r>
      <w:r w:rsidR="00A053CE" w:rsidRPr="000767AE">
        <w:rPr>
          <w:rFonts w:ascii="Arial" w:hAnsi="Arial" w:cs="Arial"/>
          <w:sz w:val="24"/>
          <w:szCs w:val="24"/>
        </w:rPr>
        <w:t xml:space="preserve"> </w:t>
      </w:r>
      <w:r w:rsidR="001D67BD" w:rsidRPr="000767AE">
        <w:rPr>
          <w:rFonts w:ascii="Arial" w:hAnsi="Arial" w:cs="Arial"/>
          <w:sz w:val="24"/>
          <w:szCs w:val="24"/>
        </w:rPr>
        <w:t>whilst</w:t>
      </w:r>
      <w:r w:rsidR="00A053CE" w:rsidRPr="000767AE">
        <w:rPr>
          <w:rFonts w:ascii="Arial" w:hAnsi="Arial" w:cs="Arial"/>
          <w:sz w:val="24"/>
          <w:szCs w:val="24"/>
        </w:rPr>
        <w:t xml:space="preserve"> fluoroquinolone-resistant </w:t>
      </w:r>
      <w:r w:rsidR="00A053CE" w:rsidRPr="000767AE">
        <w:rPr>
          <w:rFonts w:ascii="Arial" w:hAnsi="Arial" w:cs="Arial"/>
          <w:i/>
          <w:sz w:val="24"/>
          <w:szCs w:val="24"/>
        </w:rPr>
        <w:t>Salmonella</w:t>
      </w:r>
      <w:r w:rsidR="00A053CE" w:rsidRPr="000767AE">
        <w:rPr>
          <w:rFonts w:ascii="Arial" w:hAnsi="Arial" w:cs="Arial"/>
          <w:sz w:val="24"/>
          <w:szCs w:val="24"/>
        </w:rPr>
        <w:t xml:space="preserve"> </w:t>
      </w:r>
      <w:r w:rsidR="00A053CE" w:rsidRPr="000767AE">
        <w:rPr>
          <w:rFonts w:ascii="Arial" w:hAnsi="Arial" w:cs="Arial"/>
          <w:i/>
          <w:sz w:val="24"/>
          <w:szCs w:val="24"/>
        </w:rPr>
        <w:t>enterica</w:t>
      </w:r>
      <w:r w:rsidR="00A053CE" w:rsidRPr="000767AE">
        <w:rPr>
          <w:rFonts w:ascii="Arial" w:hAnsi="Arial" w:cs="Arial"/>
          <w:sz w:val="24"/>
          <w:szCs w:val="24"/>
        </w:rPr>
        <w:t xml:space="preserve"> serovar Typhi</w:t>
      </w:r>
      <w:r w:rsidR="00A053CE" w:rsidRPr="000767AE">
        <w:rPr>
          <w:rFonts w:ascii="Arial" w:hAnsi="Arial" w:cs="Arial"/>
          <w:sz w:val="24"/>
          <w:szCs w:val="24"/>
        </w:rPr>
        <w:fldChar w:fldCharType="begin" w:fldLock="1"/>
      </w:r>
      <w:r w:rsidR="009E0BAE">
        <w:rPr>
          <w:rFonts w:ascii="Arial" w:hAnsi="Arial" w:cs="Arial"/>
          <w:sz w:val="24"/>
          <w:szCs w:val="24"/>
        </w:rPr>
        <w:instrText>ADDIN CSL_CITATION { "citationItems" : [ { "id" : "ITEM-1", "itemData" : { "DOI" : "10.7554/eLife.01229", "ISSN" : "2050-084X", "PMID" : "24327559", "abstract" : "Fluoroquinolones (FQ) are the recommended antimicrobial treatment for typhoid, a severe systemic infection caused by the bacterium Salmonella enterica serovar Typhi. FQ-resistance mutations in S. Typhi have become common, hindering treatment and control efforts. Using in vitro competition experiments, we assayed the fitness of eleven isogenic S. Typhi strains with resistance mutations in the FQ target genes, gyrA and parC. In the absence of antimicrobial pressure, 6 out of 11 mutants carried a selective advantage over the antimicrobial-sensitive parent strain, indicating that FQ resistance in S. Typhi is not typically associated with fitness costs. Double-mutants exhibited higher than expected fitness as a result of synergistic epistasis, signifying that epistasis may be a critical factor in the evolution and molecular epidemiology of S. Typhi. Our findings have important implications for the management of drug-resistant S. Typhi, suggesting that FQ-resistant strains would be naturally maintained even if fluoroquinolone use were reduced. DOI: http://dx.doi.org/10.7554/eLife.01229.001.", "author" : [ { "dropping-particle" : "", "family" : "Baker", "given" : "Stephen", "non-dropping-particle" : "", "parse-names" : false, "suffix" : "" }, { "dropping-particle" : "", "family" : "Duy", "given" : "Pham Thanh", "non-dropping-particle" : "", "parse-names" : false, "suffix" : "" }, { "dropping-particle" : "", "family" : "Nga", "given" : "Tran Vu Thieu", "non-dropping-particle" : "", "parse-names" : false, "suffix" : "" }, { "dropping-particle" : "", "family" : "Dung", "given" : "Tran Thi Ngoc", "non-dropping-particle" : "", "parse-names" : false, "suffix" : "" }, { "dropping-particle" : "", "family" : "Phat", "given" : "Voong Vinh", "non-dropping-particle" : "", "parse-names" : false, "suffix" : "" }, { "dropping-particle" : "", "family" : "Chau", "given" : "Tran Thuy", "non-dropping-particle" : "", "parse-names" : false, "suffix" : "" }, { "dropping-particle" : "", "family" : "Turner", "given" : "a Keith", "non-dropping-particle" : "", "parse-names" : false, "suffix" : "" }, { "dropping-particle" : "", "family" : "Farrar", "given" : "Jeremy", "non-dropping-particle" : "", "parse-names" : false, "suffix" : "" }, { "dropping-particle" : "", "family" : "Boni", "given" : "Maciej F", "non-dropping-particle" : "", "parse-names" : false, "suffix" : "" } ], "container-title" : "eLife", "id" : "ITEM-1", "issued" : { "date-parts" : [ [ "2013", "1" ] ] }, "page" : "e01229", "title" : "Fitness benefits in fluoroquinolone-resistant Salmonella Typhi in the absence of antimicrobial pressure.", "type" : "article-journal", "volume" : "2" }, "uris" : [ "http://www.mendeley.com/documents/?uuid=6c474402-153b-4469-8c20-213dd8edff8a" ] } ], "mendeley" : { "formattedCitation" : "&lt;sup&gt;72&lt;/sup&gt;", "plainTextFormattedCitation" : "72", "previouslyFormattedCitation" : "&lt;sup&gt;73&lt;/sup&gt;" }, "properties" : { "noteIndex" : 0 }, "schema" : "https://github.com/citation-style-language/schema/raw/master/csl-citation.json" }</w:instrText>
      </w:r>
      <w:r w:rsidR="00A053CE" w:rsidRPr="000767AE">
        <w:rPr>
          <w:rFonts w:ascii="Arial" w:hAnsi="Arial" w:cs="Arial"/>
          <w:sz w:val="24"/>
          <w:szCs w:val="24"/>
        </w:rPr>
        <w:fldChar w:fldCharType="separate"/>
      </w:r>
      <w:r w:rsidR="009E0BAE" w:rsidRPr="009E0BAE">
        <w:rPr>
          <w:rFonts w:ascii="Arial" w:hAnsi="Arial" w:cs="Arial"/>
          <w:noProof/>
          <w:sz w:val="24"/>
          <w:szCs w:val="24"/>
          <w:vertAlign w:val="superscript"/>
        </w:rPr>
        <w:t>72</w:t>
      </w:r>
      <w:r w:rsidR="00A053CE" w:rsidRPr="000767AE">
        <w:rPr>
          <w:rFonts w:ascii="Arial" w:hAnsi="Arial" w:cs="Arial"/>
          <w:sz w:val="24"/>
          <w:szCs w:val="24"/>
        </w:rPr>
        <w:fldChar w:fldCharType="end"/>
      </w:r>
      <w:r w:rsidR="00A053CE" w:rsidRPr="000767AE">
        <w:rPr>
          <w:rFonts w:ascii="Arial" w:hAnsi="Arial" w:cs="Arial"/>
          <w:sz w:val="24"/>
          <w:szCs w:val="24"/>
        </w:rPr>
        <w:t xml:space="preserve"> and </w:t>
      </w:r>
      <w:r w:rsidR="00A053CE" w:rsidRPr="000767AE">
        <w:rPr>
          <w:rFonts w:ascii="Arial" w:hAnsi="Arial" w:cs="Arial"/>
          <w:i/>
          <w:sz w:val="24"/>
          <w:szCs w:val="24"/>
        </w:rPr>
        <w:t>N. gonorrhoeae</w:t>
      </w:r>
      <w:r w:rsidR="00A053CE" w:rsidRPr="000767AE">
        <w:rPr>
          <w:rFonts w:ascii="Arial" w:hAnsi="Arial" w:cs="Arial"/>
          <w:sz w:val="24"/>
          <w:szCs w:val="24"/>
        </w:rPr>
        <w:fldChar w:fldCharType="begin" w:fldLock="1"/>
      </w:r>
      <w:r w:rsidR="009E0BAE">
        <w:rPr>
          <w:rFonts w:ascii="Arial" w:hAnsi="Arial" w:cs="Arial"/>
          <w:sz w:val="24"/>
          <w:szCs w:val="24"/>
        </w:rPr>
        <w:instrText>ADDIN CSL_CITATION { "citationItems" : [ { "id" : "ITEM-1", "itemData" : { "DOI" : "10.1093/infdis/jis281", "ISSN" : "1537-6613", "PMID" : "22492861", "author" : [ { "dropping-particle" : "", "family" : "Dillon", "given" : "Jo-Anne R", "non-dropping-particle" : "", "parse-names" : false, "suffix" : "" }, { "dropping-particle" : "", "family" : "Parti", "given" : "Rajinder P", "non-dropping-particle" : "", "parse-names" : false, "suffix" : "" } ], "container-title" : "Journal of Infectious Diseases", "id" : "ITEM-1", "issue" : "12", "issued" : { "date-parts" : [ [ "2012", "6", "15" ] ] }, "page" : "1775-7", "title" : "Fluoroquinolone resistance in Neisseria gonorrhoeae: fitness cost or benefit?", "type" : "article-journal", "volume" : "205" }, "uris" : [ "http://www.mendeley.com/documents/?uuid=b3743bda-dba5-4387-a067-cdd5e16c8f0a" ] } ], "mendeley" : { "formattedCitation" : "&lt;sup&gt;76&lt;/sup&gt;", "plainTextFormattedCitation" : "76", "previouslyFormattedCitation" : "&lt;sup&gt;77&lt;/sup&gt;" }, "properties" : { "noteIndex" : 0 }, "schema" : "https://github.com/citation-style-language/schema/raw/master/csl-citation.json" }</w:instrText>
      </w:r>
      <w:r w:rsidR="00A053CE" w:rsidRPr="000767AE">
        <w:rPr>
          <w:rFonts w:ascii="Arial" w:hAnsi="Arial" w:cs="Arial"/>
          <w:sz w:val="24"/>
          <w:szCs w:val="24"/>
        </w:rPr>
        <w:fldChar w:fldCharType="separate"/>
      </w:r>
      <w:r w:rsidR="009E0BAE" w:rsidRPr="009E0BAE">
        <w:rPr>
          <w:rFonts w:ascii="Arial" w:hAnsi="Arial" w:cs="Arial"/>
          <w:noProof/>
          <w:sz w:val="24"/>
          <w:szCs w:val="24"/>
          <w:vertAlign w:val="superscript"/>
        </w:rPr>
        <w:t>76</w:t>
      </w:r>
      <w:r w:rsidR="00A053CE" w:rsidRPr="000767AE">
        <w:rPr>
          <w:rFonts w:ascii="Arial" w:hAnsi="Arial" w:cs="Arial"/>
          <w:sz w:val="24"/>
          <w:szCs w:val="24"/>
        </w:rPr>
        <w:fldChar w:fldCharType="end"/>
      </w:r>
      <w:r w:rsidR="00A053CE" w:rsidRPr="000767AE">
        <w:rPr>
          <w:rFonts w:ascii="Arial" w:hAnsi="Arial" w:cs="Arial"/>
          <w:i/>
          <w:sz w:val="24"/>
          <w:szCs w:val="24"/>
        </w:rPr>
        <w:t xml:space="preserve"> </w:t>
      </w:r>
      <w:r w:rsidR="00A053CE" w:rsidRPr="000767AE">
        <w:rPr>
          <w:rFonts w:ascii="Arial" w:hAnsi="Arial" w:cs="Arial"/>
          <w:sz w:val="24"/>
          <w:szCs w:val="24"/>
        </w:rPr>
        <w:t xml:space="preserve">are not uncommon. </w:t>
      </w:r>
    </w:p>
    <w:p w14:paraId="2FBF5A45" w14:textId="77777777" w:rsidR="00A053CE" w:rsidRPr="000767AE" w:rsidRDefault="00A053CE" w:rsidP="00A053CE">
      <w:pPr>
        <w:ind w:firstLine="720"/>
        <w:rPr>
          <w:rFonts w:ascii="Arial" w:hAnsi="Arial" w:cs="Arial"/>
          <w:sz w:val="24"/>
          <w:szCs w:val="24"/>
        </w:rPr>
      </w:pPr>
    </w:p>
    <w:p w14:paraId="5AF6DFD5" w14:textId="3F1A8606" w:rsidR="00A053CE" w:rsidRPr="000767AE" w:rsidRDefault="00A053CE" w:rsidP="00A053CE">
      <w:pPr>
        <w:rPr>
          <w:rFonts w:ascii="Arial" w:hAnsi="Arial" w:cs="Arial"/>
          <w:sz w:val="24"/>
          <w:szCs w:val="24"/>
        </w:rPr>
      </w:pPr>
      <w:r w:rsidRPr="000767AE">
        <w:rPr>
          <w:rFonts w:ascii="Arial" w:hAnsi="Arial" w:cs="Arial"/>
          <w:sz w:val="24"/>
          <w:szCs w:val="24"/>
        </w:rPr>
        <w:t>Th</w:t>
      </w:r>
      <w:r w:rsidR="001D67BD" w:rsidRPr="000767AE">
        <w:rPr>
          <w:rFonts w:ascii="Arial" w:hAnsi="Arial" w:cs="Arial"/>
          <w:sz w:val="24"/>
          <w:szCs w:val="24"/>
        </w:rPr>
        <w:t>is</w:t>
      </w:r>
      <w:r w:rsidRPr="000767AE">
        <w:rPr>
          <w:rFonts w:ascii="Arial" w:hAnsi="Arial" w:cs="Arial"/>
          <w:sz w:val="24"/>
          <w:szCs w:val="24"/>
        </w:rPr>
        <w:t xml:space="preserve"> development and global spread of fluoroquinolone-resistant bacteria </w:t>
      </w:r>
      <w:r w:rsidR="0089705A" w:rsidRPr="000767AE">
        <w:rPr>
          <w:rFonts w:ascii="Arial" w:hAnsi="Arial" w:cs="Arial"/>
          <w:sz w:val="24"/>
          <w:szCs w:val="24"/>
        </w:rPr>
        <w:t>sugge</w:t>
      </w:r>
      <w:r w:rsidR="001D67BD" w:rsidRPr="000767AE">
        <w:rPr>
          <w:rFonts w:ascii="Arial" w:hAnsi="Arial" w:cs="Arial"/>
          <w:sz w:val="24"/>
          <w:szCs w:val="24"/>
        </w:rPr>
        <w:t>s</w:t>
      </w:r>
      <w:r w:rsidR="0089705A" w:rsidRPr="000767AE">
        <w:rPr>
          <w:rFonts w:ascii="Arial" w:hAnsi="Arial" w:cs="Arial"/>
          <w:sz w:val="24"/>
          <w:szCs w:val="24"/>
        </w:rPr>
        <w:t xml:space="preserve">ts </w:t>
      </w:r>
      <w:r w:rsidRPr="000767AE">
        <w:rPr>
          <w:rFonts w:ascii="Arial" w:hAnsi="Arial" w:cs="Arial"/>
          <w:sz w:val="24"/>
          <w:szCs w:val="24"/>
        </w:rPr>
        <w:t xml:space="preserve">resistance to this class of drugs is </w:t>
      </w:r>
      <w:r w:rsidR="001D67BD" w:rsidRPr="000767AE">
        <w:rPr>
          <w:rFonts w:ascii="Arial" w:hAnsi="Arial" w:cs="Arial"/>
          <w:sz w:val="24"/>
          <w:szCs w:val="24"/>
        </w:rPr>
        <w:t xml:space="preserve">unlikely to be </w:t>
      </w:r>
      <w:r w:rsidRPr="000767AE">
        <w:rPr>
          <w:rFonts w:ascii="Arial" w:hAnsi="Arial" w:cs="Arial"/>
          <w:sz w:val="24"/>
          <w:szCs w:val="24"/>
        </w:rPr>
        <w:t>a burden to the bacterium. Mutations that alter the target of antimicrobials (such</w:t>
      </w:r>
      <w:r w:rsidR="00453773" w:rsidRPr="000767AE">
        <w:rPr>
          <w:rFonts w:ascii="Arial" w:hAnsi="Arial" w:cs="Arial"/>
          <w:sz w:val="24"/>
          <w:szCs w:val="24"/>
        </w:rPr>
        <w:t xml:space="preserve"> as</w:t>
      </w:r>
      <w:r w:rsidRPr="000767AE">
        <w:rPr>
          <w:rFonts w:ascii="Arial" w:hAnsi="Arial" w:cs="Arial"/>
          <w:sz w:val="24"/>
          <w:szCs w:val="24"/>
        </w:rPr>
        <w:t xml:space="preserve"> </w:t>
      </w:r>
      <w:r w:rsidRPr="000767AE">
        <w:rPr>
          <w:rFonts w:ascii="Arial" w:hAnsi="Arial" w:cs="Arial"/>
          <w:i/>
          <w:sz w:val="24"/>
          <w:szCs w:val="24"/>
        </w:rPr>
        <w:t>gyrA</w:t>
      </w:r>
      <w:r w:rsidR="001D67BD" w:rsidRPr="000767AE">
        <w:rPr>
          <w:rFonts w:ascii="Arial" w:hAnsi="Arial" w:cs="Arial"/>
          <w:sz w:val="24"/>
          <w:szCs w:val="24"/>
        </w:rPr>
        <w:t xml:space="preserve">, </w:t>
      </w:r>
      <w:r w:rsidR="00A1490E" w:rsidRPr="000767AE">
        <w:rPr>
          <w:rFonts w:ascii="Arial" w:hAnsi="Arial" w:cs="Arial"/>
          <w:sz w:val="24"/>
          <w:szCs w:val="24"/>
        </w:rPr>
        <w:t xml:space="preserve">in the case of </w:t>
      </w:r>
      <w:r w:rsidR="001D67BD" w:rsidRPr="000767AE">
        <w:rPr>
          <w:rFonts w:ascii="Arial" w:hAnsi="Arial" w:cs="Arial"/>
          <w:sz w:val="24"/>
          <w:szCs w:val="24"/>
        </w:rPr>
        <w:t>fluoroquinolones</w:t>
      </w:r>
      <w:r w:rsidRPr="000767AE">
        <w:rPr>
          <w:rFonts w:ascii="Arial" w:hAnsi="Arial" w:cs="Arial"/>
          <w:sz w:val="24"/>
          <w:szCs w:val="24"/>
        </w:rPr>
        <w:t>) can change bacterial physiology</w:t>
      </w:r>
      <w:r w:rsidR="00453773" w:rsidRPr="000767AE">
        <w:rPr>
          <w:rFonts w:ascii="Arial" w:hAnsi="Arial" w:cs="Arial"/>
          <w:sz w:val="24"/>
          <w:szCs w:val="24"/>
        </w:rPr>
        <w:t>,</w:t>
      </w:r>
      <w:r w:rsidR="001D67BD" w:rsidRPr="000767AE">
        <w:rPr>
          <w:rFonts w:ascii="Arial" w:hAnsi="Arial" w:cs="Arial"/>
          <w:sz w:val="24"/>
          <w:szCs w:val="24"/>
        </w:rPr>
        <w:t xml:space="preserve"> potentially</w:t>
      </w:r>
      <w:r w:rsidRPr="000767AE">
        <w:rPr>
          <w:rFonts w:ascii="Arial" w:hAnsi="Arial" w:cs="Arial"/>
          <w:sz w:val="24"/>
          <w:szCs w:val="24"/>
        </w:rPr>
        <w:t xml:space="preserve"> making them less fit. However, recent data indicates that compensatory mutations that restore fitness to wild type levels explains, in part, why clinical isolates resistant to this class of drugs have proliferated and spread. For example, mutations detected in a fluoroquinolone-resistant strain of </w:t>
      </w:r>
      <w:r w:rsidRPr="000767AE">
        <w:rPr>
          <w:rFonts w:ascii="Arial" w:hAnsi="Arial" w:cs="Arial"/>
          <w:i/>
          <w:sz w:val="24"/>
          <w:szCs w:val="24"/>
        </w:rPr>
        <w:t>E. coli</w:t>
      </w:r>
      <w:r w:rsidRPr="000767AE">
        <w:rPr>
          <w:rFonts w:ascii="Arial" w:hAnsi="Arial" w:cs="Arial"/>
          <w:sz w:val="24"/>
          <w:szCs w:val="24"/>
        </w:rPr>
        <w:t xml:space="preserve"> were </w:t>
      </w:r>
      <w:r w:rsidR="007E2CF6" w:rsidRPr="000767AE">
        <w:rPr>
          <w:rFonts w:ascii="Arial" w:hAnsi="Arial" w:cs="Arial"/>
          <w:sz w:val="24"/>
          <w:szCs w:val="24"/>
        </w:rPr>
        <w:t xml:space="preserve">experimentally </w:t>
      </w:r>
      <w:r w:rsidRPr="000767AE">
        <w:rPr>
          <w:rFonts w:ascii="Arial" w:hAnsi="Arial" w:cs="Arial"/>
          <w:sz w:val="24"/>
          <w:szCs w:val="24"/>
        </w:rPr>
        <w:t xml:space="preserve">re-constructed. Strains with single mutations were less fit than the parental strain; however, two or more mutations in combination increased the fitness of the bacterium to similar or greater </w:t>
      </w:r>
      <w:r w:rsidR="001D67BD" w:rsidRPr="000767AE">
        <w:rPr>
          <w:rFonts w:ascii="Arial" w:hAnsi="Arial" w:cs="Arial"/>
          <w:sz w:val="24"/>
          <w:szCs w:val="24"/>
        </w:rPr>
        <w:t xml:space="preserve">levels </w:t>
      </w:r>
      <w:r w:rsidRPr="000767AE">
        <w:rPr>
          <w:rFonts w:ascii="Arial" w:hAnsi="Arial" w:cs="Arial"/>
          <w:sz w:val="24"/>
          <w:szCs w:val="24"/>
        </w:rPr>
        <w:t>than that of the antimicrobial susceptible strain</w:t>
      </w:r>
      <w:r w:rsidR="000719B7">
        <w:rPr>
          <w:rFonts w:ascii="Arial" w:hAnsi="Arial" w:cs="Arial"/>
          <w:sz w:val="24"/>
          <w:szCs w:val="24"/>
        </w:rPr>
        <w:t>.</w:t>
      </w:r>
      <w:r w:rsidR="000719B7">
        <w:rPr>
          <w:rFonts w:ascii="Arial" w:hAnsi="Arial" w:cs="Arial"/>
          <w:sz w:val="24"/>
          <w:szCs w:val="24"/>
        </w:rPr>
        <w:fldChar w:fldCharType="begin" w:fldLock="1"/>
      </w:r>
      <w:r w:rsidR="009E0BAE">
        <w:rPr>
          <w:rFonts w:ascii="Arial" w:hAnsi="Arial" w:cs="Arial"/>
          <w:sz w:val="24"/>
          <w:szCs w:val="24"/>
        </w:rPr>
        <w:instrText>ADDIN CSL_CITATION { "citationItems" : [ { "id" : "ITEM-1", "itemData" : { "DOI" : "10.1371/journal.ppat.1000541", "ISSN" : "1553-7374", "PMID" : "19662169", "abstract" : "Fluoroquinolones are antibacterial drugs that inhibit DNA Gyrase and Topoisomerase IV. These essential enzymes facilitate chromosome replication and RNA transcription by regulating chromosome supercoiling. High-level resistance to fluoroquinolones in E. coli requires the accumulation of multiple mutations, including those that alter target genes and genes regulating drug efflux. Previous studies have shown some drug-resistance mutations reduce bacterial fitness, leading to the selection of fitness-compensatory mutations. The impact of fluoroquinolone-resistance on bacterial fitness was analyzed in constructed isogenic strains carrying up to 5 resistance mutations. Some mutations significantly decreased bacterial fitness both in vitro and in vivo. We identified low-fitness triple-mutants where the acquisition of a fourth resistance mutation significantly increased fitness in vitro and in vivo while at the same time dramatically decreasing drug susceptibility. The largest effect occurred with the addition of a parC mutation (Topoisomerase IV) to a low-fitness strain carrying resistance mutations in gyrA (DNA Gyrase) and marR (drug efflux regulation). Increased fitness was accompanied by a significant change in the level of gyrA promoter activity as measured in an assay of DNA supercoiling. In selection and competition experiments made in the absence of drug, parC mutants that improved fitness and reduced susceptibility were selected. These data suggest that natural selection for improved growth in bacteria with low-level resistance to fluoroquinolones could in some cases select for further reductions in drug susceptibility. Thus, increased resistance to fluoroquinolones could be selected even in the absence of further exposure to the drug.", "author" : [ { "dropping-particle" : "", "family" : "Marcusson", "given" : "Linda L", "non-dropping-particle" : "", "parse-names" : false, "suffix" : "" }, { "dropping-particle" : "", "family" : "Frimodt-M\u00f8ller", "given" : "Niels", "non-dropping-particle" : "", "parse-names" : false, "suffix" : "" }, { "dropping-particle" : "", "family" : "Hughes", "given" : "Diarmaid", "non-dropping-particle" : "", "parse-names" : false, "suffix" : "" } ], "container-title" : "PLoS Pathogens", "id" : "ITEM-1", "issue" : "8", "issued" : { "date-parts" : [ [ "2009", "8" ] ] }, "page" : "e1000541", "title" : "Interplay in the selection of fluoroquinolone resistance and bacterial fitness.", "type" : "article-journal", "volume" : "5" }, "uris" : [ "http://www.mendeley.com/documents/?uuid=a17e9f5c-d97b-4680-af7d-d0ef9d9f584d" ] } ], "mendeley" : { "formattedCitation" : "&lt;sup&gt;77&lt;/sup&gt;", "plainTextFormattedCitation" : "77", "previouslyFormattedCitation" : "&lt;sup&gt;78&lt;/sup&gt;" }, "properties" : { "noteIndex" : 0 }, "schema" : "https://github.com/citation-style-language/schema/raw/master/csl-citation.json" }</w:instrText>
      </w:r>
      <w:r w:rsidR="000719B7">
        <w:rPr>
          <w:rFonts w:ascii="Arial" w:hAnsi="Arial" w:cs="Arial"/>
          <w:sz w:val="24"/>
          <w:szCs w:val="24"/>
        </w:rPr>
        <w:fldChar w:fldCharType="separate"/>
      </w:r>
      <w:r w:rsidR="009E0BAE" w:rsidRPr="009E0BAE">
        <w:rPr>
          <w:rFonts w:ascii="Arial" w:hAnsi="Arial" w:cs="Arial"/>
          <w:noProof/>
          <w:sz w:val="24"/>
          <w:szCs w:val="24"/>
          <w:vertAlign w:val="superscript"/>
        </w:rPr>
        <w:t>77</w:t>
      </w:r>
      <w:r w:rsidR="000719B7">
        <w:rPr>
          <w:rFonts w:ascii="Arial" w:hAnsi="Arial" w:cs="Arial"/>
          <w:sz w:val="24"/>
          <w:szCs w:val="24"/>
        </w:rPr>
        <w:fldChar w:fldCharType="end"/>
      </w:r>
      <w:r w:rsidRPr="000767AE">
        <w:rPr>
          <w:rFonts w:ascii="Arial" w:hAnsi="Arial" w:cs="Arial"/>
          <w:sz w:val="24"/>
          <w:szCs w:val="24"/>
        </w:rPr>
        <w:t xml:space="preserve"> Therefore, once selected, fluoroquinolone-resistant mutants are able to persist </w:t>
      </w:r>
      <w:r w:rsidR="00EC2B1B" w:rsidRPr="000767AE">
        <w:rPr>
          <w:rFonts w:ascii="Arial" w:hAnsi="Arial" w:cs="Arial"/>
          <w:sz w:val="24"/>
          <w:szCs w:val="24"/>
        </w:rPr>
        <w:t xml:space="preserve">and </w:t>
      </w:r>
      <w:r w:rsidR="000B36A4" w:rsidRPr="000767AE">
        <w:rPr>
          <w:rFonts w:ascii="Arial" w:hAnsi="Arial" w:cs="Arial"/>
          <w:sz w:val="24"/>
          <w:szCs w:val="24"/>
        </w:rPr>
        <w:t>thrive</w:t>
      </w:r>
      <w:r w:rsidR="00EC2B1B" w:rsidRPr="000767AE">
        <w:rPr>
          <w:rFonts w:ascii="Arial" w:hAnsi="Arial" w:cs="Arial"/>
          <w:sz w:val="24"/>
          <w:szCs w:val="24"/>
        </w:rPr>
        <w:t xml:space="preserve"> even </w:t>
      </w:r>
      <w:r w:rsidRPr="000767AE">
        <w:rPr>
          <w:rFonts w:ascii="Arial" w:hAnsi="Arial" w:cs="Arial"/>
          <w:sz w:val="24"/>
          <w:szCs w:val="24"/>
        </w:rPr>
        <w:t>in the absence of fluoroquinolone antimicrobial</w:t>
      </w:r>
      <w:r w:rsidR="00DD3308" w:rsidRPr="000767AE">
        <w:rPr>
          <w:rFonts w:ascii="Arial" w:hAnsi="Arial" w:cs="Arial"/>
          <w:sz w:val="24"/>
          <w:szCs w:val="24"/>
        </w:rPr>
        <w:t>s</w:t>
      </w:r>
      <w:r w:rsidRPr="000767AE">
        <w:rPr>
          <w:rFonts w:ascii="Arial" w:hAnsi="Arial" w:cs="Arial"/>
          <w:sz w:val="24"/>
          <w:szCs w:val="24"/>
        </w:rPr>
        <w:t>.</w:t>
      </w:r>
      <w:r w:rsidR="005A7274" w:rsidRPr="000767AE">
        <w:rPr>
          <w:rFonts w:ascii="Arial" w:hAnsi="Arial" w:cs="Arial"/>
          <w:sz w:val="24"/>
          <w:szCs w:val="24"/>
        </w:rPr>
        <w:fldChar w:fldCharType="begin" w:fldLock="1"/>
      </w:r>
      <w:r w:rsidR="009E0BAE">
        <w:rPr>
          <w:rFonts w:ascii="Arial" w:hAnsi="Arial" w:cs="Arial"/>
          <w:sz w:val="24"/>
          <w:szCs w:val="24"/>
        </w:rPr>
        <w:instrText>ADDIN CSL_CITATION { "citationItems" : [ { "id" : "ITEM-1", "itemData" : { "DOI" : "10.1371/journal.ppat.1000541", "ISSN" : "1553-7374", "PMID" : "19662169", "abstract" : "Fluoroquinolones are antibacterial drugs that inhibit DNA Gyrase and Topoisomerase IV. These essential enzymes facilitate chromosome replication and RNA transcription by regulating chromosome supercoiling. High-level resistance to fluoroquinolones in E. coli requires the accumulation of multiple mutations, including those that alter target genes and genes regulating drug efflux. Previous studies have shown some drug-resistance mutations reduce bacterial fitness, leading to the selection of fitness-compensatory mutations. The impact of fluoroquinolone-resistance on bacterial fitness was analyzed in constructed isogenic strains carrying up to 5 resistance mutations. Some mutations significantly decreased bacterial fitness both in vitro and in vivo. We identified low-fitness triple-mutants where the acquisition of a fourth resistance mutation significantly increased fitness in vitro and in vivo while at the same time dramatically decreasing drug susceptibility. The largest effect occurred with the addition of a parC mutation (Topoisomerase IV) to a low-fitness strain carrying resistance mutations in gyrA (DNA Gyrase) and marR (drug efflux regulation). Increased fitness was accompanied by a significant change in the level of gyrA promoter activity as measured in an assay of DNA supercoiling. In selection and competition experiments made in the absence of drug, parC mutants that improved fitness and reduced susceptibility were selected. These data suggest that natural selection for improved growth in bacteria with low-level resistance to fluoroquinolones could in some cases select for further reductions in drug susceptibility. Thus, increased resistance to fluoroquinolones could be selected even in the absence of further exposure to the drug.", "author" : [ { "dropping-particle" : "", "family" : "Marcusson", "given" : "Linda L", "non-dropping-particle" : "", "parse-names" : false, "suffix" : "" }, { "dropping-particle" : "", "family" : "Frimodt-M\u00f8ller", "given" : "Niels", "non-dropping-particle" : "", "parse-names" : false, "suffix" : "" }, { "dropping-particle" : "", "family" : "Hughes", "given" : "Diarmaid", "non-dropping-particle" : "", "parse-names" : false, "suffix" : "" } ], "container-title" : "PLoS Pathogens", "id" : "ITEM-1", "issue" : "8", "issued" : { "date-parts" : [ [ "2009", "8" ] ] }, "page" : "e1000541", "title" : "Interplay in the selection of fluoroquinolone resistance and bacterial fitness.", "type" : "article-journal", "volume" : "5" }, "uris" : [ "http://www.mendeley.com/documents/?uuid=a17e9f5c-d97b-4680-af7d-d0ef9d9f584d" ] } ], "mendeley" : { "formattedCitation" : "&lt;sup&gt;77&lt;/sup&gt;", "plainTextFormattedCitation" : "77", "previouslyFormattedCitation" : "&lt;sup&gt;78&lt;/sup&gt;" }, "properties" : { "noteIndex" : 0 }, "schema" : "https://github.com/citation-style-language/schema/raw/master/csl-citation.json" }</w:instrText>
      </w:r>
      <w:r w:rsidR="005A7274" w:rsidRPr="000767AE">
        <w:rPr>
          <w:rFonts w:ascii="Arial" w:hAnsi="Arial" w:cs="Arial"/>
          <w:sz w:val="24"/>
          <w:szCs w:val="24"/>
        </w:rPr>
        <w:fldChar w:fldCharType="separate"/>
      </w:r>
      <w:r w:rsidR="009E0BAE" w:rsidRPr="009E0BAE">
        <w:rPr>
          <w:rFonts w:ascii="Arial" w:hAnsi="Arial" w:cs="Arial"/>
          <w:noProof/>
          <w:sz w:val="24"/>
          <w:szCs w:val="24"/>
          <w:vertAlign w:val="superscript"/>
        </w:rPr>
        <w:t>77</w:t>
      </w:r>
      <w:r w:rsidR="005A7274" w:rsidRPr="000767AE">
        <w:rPr>
          <w:rFonts w:ascii="Arial" w:hAnsi="Arial" w:cs="Arial"/>
          <w:sz w:val="24"/>
          <w:szCs w:val="24"/>
        </w:rPr>
        <w:fldChar w:fldCharType="end"/>
      </w:r>
      <w:r w:rsidRPr="000767AE">
        <w:rPr>
          <w:rFonts w:ascii="Arial" w:hAnsi="Arial" w:cs="Arial"/>
          <w:sz w:val="24"/>
          <w:szCs w:val="24"/>
        </w:rPr>
        <w:t xml:space="preserve"> </w:t>
      </w:r>
    </w:p>
    <w:p w14:paraId="4BF5D541" w14:textId="77777777" w:rsidR="00A053CE" w:rsidRPr="000767AE" w:rsidRDefault="00A053CE" w:rsidP="00A053CE">
      <w:pPr>
        <w:ind w:firstLine="720"/>
        <w:rPr>
          <w:rFonts w:ascii="Arial" w:hAnsi="Arial" w:cs="Arial"/>
          <w:sz w:val="24"/>
          <w:szCs w:val="24"/>
        </w:rPr>
      </w:pPr>
    </w:p>
    <w:p w14:paraId="31030784" w14:textId="1E15F2CF" w:rsidR="00A053CE" w:rsidRPr="000767AE" w:rsidRDefault="00A053CE" w:rsidP="00A053CE">
      <w:pPr>
        <w:rPr>
          <w:rFonts w:ascii="Arial" w:hAnsi="Arial" w:cs="Arial"/>
          <w:sz w:val="24"/>
          <w:szCs w:val="24"/>
        </w:rPr>
      </w:pPr>
      <w:r w:rsidRPr="000767AE">
        <w:rPr>
          <w:rFonts w:ascii="Arial" w:hAnsi="Arial" w:cs="Arial"/>
          <w:sz w:val="24"/>
          <w:szCs w:val="24"/>
        </w:rPr>
        <w:t xml:space="preserve">The carriage of mobile genetic elements such as plasmids, which often contain </w:t>
      </w:r>
      <w:r w:rsidR="000325F8" w:rsidRPr="000767AE">
        <w:rPr>
          <w:rFonts w:ascii="Arial" w:hAnsi="Arial" w:cs="Arial"/>
          <w:sz w:val="24"/>
          <w:szCs w:val="24"/>
        </w:rPr>
        <w:t xml:space="preserve">several </w:t>
      </w:r>
      <w:r w:rsidR="003C0F15" w:rsidRPr="000767AE">
        <w:rPr>
          <w:rFonts w:ascii="Arial" w:hAnsi="Arial" w:cs="Arial"/>
          <w:sz w:val="24"/>
          <w:szCs w:val="24"/>
        </w:rPr>
        <w:t>AMR</w:t>
      </w:r>
      <w:r w:rsidRPr="000767AE">
        <w:rPr>
          <w:rFonts w:ascii="Arial" w:hAnsi="Arial" w:cs="Arial"/>
          <w:sz w:val="24"/>
          <w:szCs w:val="24"/>
        </w:rPr>
        <w:t xml:space="preserve"> genes, has also been proposed to reduce bacterial fitness. However, carriage of natural plasmids with no </w:t>
      </w:r>
      <w:r w:rsidR="003C0F15" w:rsidRPr="000767AE">
        <w:rPr>
          <w:rFonts w:ascii="Arial" w:hAnsi="Arial" w:cs="Arial"/>
          <w:sz w:val="24"/>
          <w:szCs w:val="24"/>
        </w:rPr>
        <w:t>AMR</w:t>
      </w:r>
      <w:r w:rsidRPr="000767AE">
        <w:rPr>
          <w:rFonts w:ascii="Arial" w:hAnsi="Arial" w:cs="Arial"/>
          <w:sz w:val="24"/>
          <w:szCs w:val="24"/>
        </w:rPr>
        <w:t xml:space="preserve"> genes is common</w:t>
      </w:r>
      <w:r w:rsidRPr="000719B7">
        <w:rPr>
          <w:rFonts w:ascii="Arial" w:hAnsi="Arial" w:cs="Arial"/>
          <w:sz w:val="24"/>
          <w:szCs w:val="24"/>
          <w:highlight w:val="yellow"/>
        </w:rPr>
        <w:t>,</w:t>
      </w:r>
      <w:r w:rsidRPr="000767AE">
        <w:rPr>
          <w:rFonts w:ascii="Arial" w:hAnsi="Arial" w:cs="Arial"/>
          <w:sz w:val="24"/>
          <w:szCs w:val="24"/>
        </w:rPr>
        <w:t xml:space="preserve"> and </w:t>
      </w:r>
      <w:r w:rsidR="003C0F15" w:rsidRPr="000767AE">
        <w:rPr>
          <w:rFonts w:ascii="Arial" w:hAnsi="Arial" w:cs="Arial"/>
          <w:sz w:val="24"/>
          <w:szCs w:val="24"/>
        </w:rPr>
        <w:t>may</w:t>
      </w:r>
      <w:r w:rsidRPr="000767AE">
        <w:rPr>
          <w:rFonts w:ascii="Arial" w:hAnsi="Arial" w:cs="Arial"/>
          <w:sz w:val="24"/>
          <w:szCs w:val="24"/>
        </w:rPr>
        <w:t xml:space="preserve"> confer a benefit to hosts</w:t>
      </w:r>
      <w:r w:rsidR="00DD3308" w:rsidRPr="000767AE">
        <w:rPr>
          <w:rFonts w:ascii="Arial" w:hAnsi="Arial" w:cs="Arial"/>
          <w:sz w:val="24"/>
          <w:szCs w:val="24"/>
        </w:rPr>
        <w:t>,</w:t>
      </w:r>
      <w:r w:rsidRPr="000767AE">
        <w:rPr>
          <w:rFonts w:ascii="Arial" w:hAnsi="Arial" w:cs="Arial"/>
          <w:sz w:val="24"/>
          <w:szCs w:val="24"/>
        </w:rPr>
        <w:t xml:space="preserve"> thereby promoting expansion of plasmid carrying strains.</w:t>
      </w:r>
      <w:r w:rsidRPr="000767AE">
        <w:rPr>
          <w:rFonts w:ascii="Arial" w:hAnsi="Arial" w:cs="Arial"/>
          <w:sz w:val="24"/>
          <w:szCs w:val="24"/>
        </w:rPr>
        <w:fldChar w:fldCharType="begin" w:fldLock="1"/>
      </w:r>
      <w:r w:rsidR="009E0BAE">
        <w:rPr>
          <w:rFonts w:ascii="Arial" w:hAnsi="Arial" w:cs="Arial"/>
          <w:sz w:val="24"/>
          <w:szCs w:val="24"/>
        </w:rPr>
        <w:instrText>ADDIN CSL_CITATION { "citationItems" : [ { "id" : "ITEM-1", "itemData" : { "DOI" : "10.1111/1462-2920.12244", "ISSN" : "1462-2920", "PMID" : "24024872", "abstract" : "Numerous mobile genetic elements (MGE) are associated with the human gut microbiota and collectively referred to as the gut mobile metagenome. The role of this flexible gene pool in development and functioning of the gut microbial community remains largely unexplored, yet recent evidence suggests that at least some MGE comprising this fraction of the gut microbiome reflect the co-evolution of host and microbe in the gastro-intestinal tract. In conjunction, the high level of novel gene content typical of MGE coupled with their predicted high diversity, suggests that the mobile metagenome constitutes an immense and largely unexplored gene-space likely to encode many novel activities with potential biotechnological or pharmaceutical value, as well as being important to the development and functioning of the gut microbiota. Of the various types of MGE that comprise the gut mobile metagenome, plasmids are of particular importance since these elements are often capable of autonomous transfer between disparate bacterial species, and are known to encode accessory functions that increase bacterial fitness in a given environment facilitating bacterial adaptation. In this article current knowledge regarding plasmids resident in the human gut mobile metagenome is reviewed, and available strategies to access and characterize this portion of the gut microbiome are described. The relative merits of these methods and their present as well as prospective impact on our understanding of the human gut microbiota is discussed.", "author" : [ { "dropping-particle" : "", "family" : "Paytubi", "given" : "Sonia", "non-dropping-particle" : "", "parse-names" : false, "suffix" : "" }, { "dropping-particle" : "", "family" : "Aznar", "given" : "Sonia", "non-dropping-particle" : "", "parse-names" : false, "suffix" : "" }, { "dropping-particle" : "", "family" : "Madrid", "given" : "Cristina", "non-dropping-particle" : "", "parse-names" : false, "suffix" : "" }, { "dropping-particle" : "", "family" : "Balsalobre", "given" : "Carlos", "non-dropping-particle" : "", "parse-names" : false, "suffix" : "" }, { "dropping-particle" : "", "family" : "Dillon", "given" : "Shane C", "non-dropping-particle" : "", "parse-names" : false, "suffix" : "" }, { "dropping-particle" : "", "family" : "Dorman", "given" : "Charles J", "non-dropping-particle" : "", "parse-names" : false, "suffix" : "" }, { "dropping-particle" : "", "family" : "Ju\u00e1rez", "given" : "Antonio", "non-dropping-particle" : "", "parse-names" : false, "suffix" : "" } ], "container-title" : "Environmental microbiology", "id" : "ITEM-1", "issued" : { "date-parts" : [ [ "2013", "8", "19" ] ] }, "page" : "[ePub ahead of print]", "title" : "A novel role for antibiotic resistance plasmids in facilitating Salmonella adaptation to non-host environments.", "type" : "article-journal" }, "uris" : [ "http://www.mendeley.com/documents/?uuid=86ac3167-56f7-446c-bd68-f0ef9e486b14" ] } ], "mendeley" : { "formattedCitation" : "&lt;sup&gt;78&lt;/sup&gt;", "plainTextFormattedCitation" : "78", "previouslyFormattedCitation" : "&lt;sup&gt;79&lt;/sup&gt;" }, "properties" : { "noteIndex" : 0 }, "schema" : "https://github.com/citation-style-language/schema/raw/master/csl-citation.json" }</w:instrText>
      </w:r>
      <w:r w:rsidRPr="000767AE">
        <w:rPr>
          <w:rFonts w:ascii="Arial" w:hAnsi="Arial" w:cs="Arial"/>
          <w:sz w:val="24"/>
          <w:szCs w:val="24"/>
        </w:rPr>
        <w:fldChar w:fldCharType="separate"/>
      </w:r>
      <w:r w:rsidR="009E0BAE" w:rsidRPr="009E0BAE">
        <w:rPr>
          <w:rFonts w:ascii="Arial" w:hAnsi="Arial" w:cs="Arial"/>
          <w:noProof/>
          <w:sz w:val="24"/>
          <w:szCs w:val="24"/>
          <w:vertAlign w:val="superscript"/>
        </w:rPr>
        <w:t>78</w:t>
      </w:r>
      <w:r w:rsidRPr="000767AE">
        <w:rPr>
          <w:rFonts w:ascii="Arial" w:hAnsi="Arial" w:cs="Arial"/>
          <w:sz w:val="24"/>
          <w:szCs w:val="24"/>
        </w:rPr>
        <w:fldChar w:fldCharType="end"/>
      </w:r>
      <w:r w:rsidRPr="000767AE">
        <w:rPr>
          <w:rFonts w:ascii="Arial" w:hAnsi="Arial" w:cs="Arial"/>
          <w:sz w:val="24"/>
          <w:szCs w:val="24"/>
        </w:rPr>
        <w:t xml:space="preserve"> For example, a plasmid, pCT, which carries one </w:t>
      </w:r>
      <w:r w:rsidR="003C0F15" w:rsidRPr="000767AE">
        <w:rPr>
          <w:rFonts w:ascii="Arial" w:hAnsi="Arial" w:cs="Arial"/>
          <w:sz w:val="24"/>
          <w:szCs w:val="24"/>
        </w:rPr>
        <w:t>AMR</w:t>
      </w:r>
      <w:r w:rsidRPr="000767AE">
        <w:rPr>
          <w:rFonts w:ascii="Arial" w:hAnsi="Arial" w:cs="Arial"/>
          <w:sz w:val="24"/>
          <w:szCs w:val="24"/>
        </w:rPr>
        <w:t xml:space="preserve"> gene (encoding the ES</w:t>
      </w:r>
      <w:r w:rsidR="00442233" w:rsidRPr="000767AE">
        <w:rPr>
          <w:rFonts w:ascii="Arial" w:hAnsi="Arial" w:cs="Arial"/>
          <w:sz w:val="24"/>
          <w:szCs w:val="24"/>
        </w:rPr>
        <w:t>β</w:t>
      </w:r>
      <w:r w:rsidRPr="000767AE">
        <w:rPr>
          <w:rFonts w:ascii="Arial" w:hAnsi="Arial" w:cs="Arial"/>
          <w:sz w:val="24"/>
          <w:szCs w:val="24"/>
        </w:rPr>
        <w:t xml:space="preserve">L CTX-M-14) has no detectable fitness impact when introduced into new host strains and has spread </w:t>
      </w:r>
      <w:r w:rsidR="00442233" w:rsidRPr="000767AE">
        <w:rPr>
          <w:rFonts w:ascii="Arial" w:hAnsi="Arial" w:cs="Arial"/>
          <w:sz w:val="24"/>
          <w:szCs w:val="24"/>
        </w:rPr>
        <w:t xml:space="preserve">globally </w:t>
      </w:r>
      <w:r w:rsidRPr="000767AE">
        <w:rPr>
          <w:rFonts w:ascii="Arial" w:hAnsi="Arial" w:cs="Arial"/>
          <w:sz w:val="24"/>
          <w:szCs w:val="24"/>
        </w:rPr>
        <w:t xml:space="preserve">in diverse </w:t>
      </w:r>
      <w:r w:rsidRPr="000767AE">
        <w:rPr>
          <w:rFonts w:ascii="Arial" w:hAnsi="Arial" w:cs="Arial"/>
          <w:i/>
          <w:sz w:val="24"/>
          <w:szCs w:val="24"/>
        </w:rPr>
        <w:t>E. coli</w:t>
      </w:r>
      <w:r w:rsidRPr="000767AE">
        <w:rPr>
          <w:rFonts w:ascii="Arial" w:hAnsi="Arial" w:cs="Arial"/>
          <w:sz w:val="24"/>
          <w:szCs w:val="24"/>
        </w:rPr>
        <w:t xml:space="preserve"> strains from animals, humans and the environment.</w:t>
      </w:r>
      <w:r w:rsidR="000C6C95" w:rsidRPr="000767AE">
        <w:rPr>
          <w:rFonts w:ascii="Arial" w:hAnsi="Arial" w:cs="Arial"/>
          <w:sz w:val="24"/>
          <w:szCs w:val="24"/>
        </w:rPr>
        <w:fldChar w:fldCharType="begin" w:fldLock="1"/>
      </w:r>
      <w:r w:rsidR="009E0BAE">
        <w:rPr>
          <w:rFonts w:ascii="Arial" w:hAnsi="Arial" w:cs="Arial"/>
          <w:sz w:val="24"/>
          <w:szCs w:val="24"/>
        </w:rPr>
        <w:instrText>ADDIN CSL_CITATION { "citationItems" : [ { "id" : "ITEM-1", "itemData" : { "DOI" : "10.1128/AAC.00313-12", "ISSN" : "1098-6596", "PMID" : "22450980", "abstract" : "IncK plasmids encoding CTX-M-14 extended-spectrum \u03b2-lactamase (ESBL) and highly related to plasmid pCT were detected in 13 of 67 (19%) human clinical isolates of Escherichia coli with a group 9 CTX-M-type ESBL from the United Kingdom and in 2 quality assurance isolates. None of these E. coli strains was related to the cattle strain from which pCT was originally characterized.", "author" : [ { "dropping-particle" : "", "family" : "Dhanji", "given" : "Hiran", "non-dropping-particle" : "", "parse-names" : false, "suffix" : "" }, { "dropping-particle" : "", "family" : "Khan", "given" : "Parmina", "non-dropping-particle" : "", "parse-names" : false, "suffix" : "" }, { "dropping-particle" : "", "family" : "Cottell", "given" : "Jennifer L", "non-dropping-particle" : "", "parse-names" : false, "suffix" : "" }, { "dropping-particle" : "V", "family" : "Piddock", "given" : "Laura J", "non-dropping-particle" : "", "parse-names" : false, "suffix" : "" }, { "dropping-particle" : "", "family" : "Zhang", "given" : "Jiancheng", "non-dropping-particle" : "", "parse-names" : false, "suffix" : "" }, { "dropping-particle" : "", "family" : "Livermore", "given" : "David M", "non-dropping-particle" : "", "parse-names" : false, "suffix" : "" }, { "dropping-particle" : "", "family" : "Woodford", "given" : "Neil", "non-dropping-particle" : "", "parse-names" : false, "suffix" : "" } ], "container-title" : "Antimicrobial agents and chemotherapy", "id" : "ITEM-1", "issue" : "6", "issued" : { "date-parts" : [ [ "2012", "6" ] ] }, "page" : "3376-7", "title" : "Dissemination of pCT-like IncK plasmids harboring CTX-M-14 extended-spectrum \u03b2-lactamase among clinical Escherichia coli isolates in the United Kingdom.", "type" : "article-journal", "volume" : "56" }, "uris" : [ "http://www.mendeley.com/documents/?uuid=888a9f39-6950-4c1e-ba2b-ed08e99d1381" ] } ], "mendeley" : { "formattedCitation" : "&lt;sup&gt;79&lt;/sup&gt;", "plainTextFormattedCitation" : "79", "previouslyFormattedCitation" : "&lt;sup&gt;80&lt;/sup&gt;" }, "properties" : { "noteIndex" : 0 }, "schema" : "https://github.com/citation-style-language/schema/raw/master/csl-citation.json" }</w:instrText>
      </w:r>
      <w:r w:rsidR="000C6C95" w:rsidRPr="000767AE">
        <w:rPr>
          <w:rFonts w:ascii="Arial" w:hAnsi="Arial" w:cs="Arial"/>
          <w:sz w:val="24"/>
          <w:szCs w:val="24"/>
        </w:rPr>
        <w:fldChar w:fldCharType="separate"/>
      </w:r>
      <w:r w:rsidR="009E0BAE" w:rsidRPr="009E0BAE">
        <w:rPr>
          <w:rFonts w:ascii="Arial" w:hAnsi="Arial" w:cs="Arial"/>
          <w:noProof/>
          <w:sz w:val="24"/>
          <w:szCs w:val="24"/>
          <w:vertAlign w:val="superscript"/>
        </w:rPr>
        <w:t>79</w:t>
      </w:r>
      <w:r w:rsidR="000C6C95" w:rsidRPr="000767AE">
        <w:rPr>
          <w:rFonts w:ascii="Arial" w:hAnsi="Arial" w:cs="Arial"/>
          <w:sz w:val="24"/>
          <w:szCs w:val="24"/>
        </w:rPr>
        <w:fldChar w:fldCharType="end"/>
      </w:r>
      <w:r w:rsidRPr="000767AE">
        <w:rPr>
          <w:rFonts w:ascii="Arial" w:hAnsi="Arial" w:cs="Arial"/>
          <w:sz w:val="24"/>
          <w:szCs w:val="24"/>
        </w:rPr>
        <w:t xml:space="preserve"> </w:t>
      </w:r>
      <w:r w:rsidR="001D28A0" w:rsidRPr="000767AE">
        <w:rPr>
          <w:rFonts w:ascii="Arial" w:hAnsi="Arial" w:cs="Arial"/>
          <w:sz w:val="24"/>
          <w:szCs w:val="24"/>
        </w:rPr>
        <w:t>As such</w:t>
      </w:r>
      <w:r w:rsidR="00D31CB8" w:rsidRPr="000767AE">
        <w:rPr>
          <w:rFonts w:ascii="Arial" w:hAnsi="Arial" w:cs="Arial"/>
          <w:sz w:val="24"/>
          <w:szCs w:val="24"/>
        </w:rPr>
        <w:t>,</w:t>
      </w:r>
      <w:r w:rsidRPr="000767AE">
        <w:rPr>
          <w:rFonts w:ascii="Arial" w:hAnsi="Arial" w:cs="Arial"/>
          <w:sz w:val="24"/>
          <w:szCs w:val="24"/>
        </w:rPr>
        <w:t xml:space="preserve"> absence of antimicrobial</w:t>
      </w:r>
      <w:r w:rsidR="00DD3308" w:rsidRPr="000767AE">
        <w:rPr>
          <w:rFonts w:ascii="Arial" w:hAnsi="Arial" w:cs="Arial"/>
          <w:sz w:val="24"/>
          <w:szCs w:val="24"/>
        </w:rPr>
        <w:t>s</w:t>
      </w:r>
      <w:r w:rsidRPr="000767AE">
        <w:rPr>
          <w:rFonts w:ascii="Arial" w:hAnsi="Arial" w:cs="Arial"/>
          <w:sz w:val="24"/>
          <w:szCs w:val="24"/>
        </w:rPr>
        <w:t xml:space="preserve"> </w:t>
      </w:r>
      <w:r w:rsidR="00DD3308" w:rsidRPr="000767AE">
        <w:rPr>
          <w:rFonts w:ascii="Arial" w:hAnsi="Arial" w:cs="Arial"/>
          <w:sz w:val="24"/>
          <w:szCs w:val="24"/>
        </w:rPr>
        <w:t xml:space="preserve">may </w:t>
      </w:r>
      <w:r w:rsidRPr="000767AE">
        <w:rPr>
          <w:rFonts w:ascii="Arial" w:hAnsi="Arial" w:cs="Arial"/>
          <w:sz w:val="24"/>
          <w:szCs w:val="24"/>
        </w:rPr>
        <w:t xml:space="preserve">not lead to a reduction in the prevalence of </w:t>
      </w:r>
      <w:r w:rsidR="001D28A0" w:rsidRPr="000767AE">
        <w:rPr>
          <w:rFonts w:ascii="Arial" w:hAnsi="Arial" w:cs="Arial"/>
          <w:sz w:val="24"/>
          <w:szCs w:val="24"/>
        </w:rPr>
        <w:t xml:space="preserve">this </w:t>
      </w:r>
      <w:r w:rsidR="00DD3308" w:rsidRPr="000767AE">
        <w:rPr>
          <w:rFonts w:ascii="Arial" w:hAnsi="Arial" w:cs="Arial"/>
          <w:sz w:val="24"/>
          <w:szCs w:val="24"/>
        </w:rPr>
        <w:t xml:space="preserve">third </w:t>
      </w:r>
      <w:r w:rsidRPr="000767AE">
        <w:rPr>
          <w:rFonts w:ascii="Arial" w:hAnsi="Arial" w:cs="Arial"/>
          <w:sz w:val="24"/>
          <w:szCs w:val="24"/>
        </w:rPr>
        <w:t>generation cephalosporin-resistant strain</w:t>
      </w:r>
      <w:r w:rsidR="00917F74" w:rsidRPr="000767AE">
        <w:rPr>
          <w:rFonts w:ascii="Arial" w:hAnsi="Arial" w:cs="Arial"/>
          <w:sz w:val="24"/>
          <w:szCs w:val="24"/>
        </w:rPr>
        <w:t>.</w:t>
      </w:r>
      <w:r w:rsidRPr="000767AE">
        <w:rPr>
          <w:rFonts w:ascii="Arial" w:hAnsi="Arial" w:cs="Arial"/>
          <w:sz w:val="24"/>
          <w:szCs w:val="24"/>
        </w:rPr>
        <w:fldChar w:fldCharType="begin" w:fldLock="1"/>
      </w:r>
      <w:r w:rsidR="009E0BAE">
        <w:rPr>
          <w:rFonts w:ascii="Arial" w:hAnsi="Arial" w:cs="Arial"/>
          <w:sz w:val="24"/>
          <w:szCs w:val="24"/>
        </w:rPr>
        <w:instrText>ADDIN CSL_CITATION { "citationItems" : [ { "id" : "ITEM-1", "itemData" : { "DOI" : "10.1128/AAC.00848-12", "ISSN" : "1098-6596", "PMID" : "22710119", "abstract" : "The treatment of infections caused by antibiotic-resistant bacteria is one of the great challenges faced by clinicians in the 21st century. Antibiotic resistance genes are often transferred between bacteria by mobile genetic vectors called plasmids. It is commonly believed that removal of antibiotic pressure will reduce the numbers of antibiotic-resistant bacteria due to the perception that carriage of resistance imposes a fitness cost on the bacterium. This study investigated the ability of the plasmid pCT, a globally distributed plasmid that carries an extended-spectrum-\u03b2-lactamase (ESBL) resistance gene (bla(CTX-M-14)), to persist and disseminate in the absence of antibiotic pressure. We investigated key attributes in plasmid success, including conjugation frequencies, bacterial-host growth rates, ability to cause infection, and impact on the fitness of host strains. We also determined the contribution of the bla(CTX-M-14) gene itself to the biology of the plasmid and host bacterium. Carriage of pCT was found to impose no detectable fitness cost on various bacterial hosts. An absence of antibiotic pressure and inactivation of the antibiotic resistance gene also had no effect on plasmid persistence, conjugation frequency, or bacterial-host biology. In conclusion, plasmids such as pCT have evolved to impose little impact on host strains. Therefore, the persistence of antibiotic resistance genes and their vectors is to be expected in the absence of antibiotic selective pressure regardless of antibiotic stewardship. Other means to reduce plasmid stability are needed to prevent the persistence of these vectors and the antibiotic resistance genes they carry.", "author" : [ { "dropping-particle" : "", "family" : "Cottell", "given" : "Jennifer L", "non-dropping-particle" : "", "parse-names" : false, "suffix" : "" }, { "dropping-particle" : "", "family" : "Webber", "given" : "Mark A", "non-dropping-particle" : "", "parse-names" : false, "suffix" : "" }, { "dropping-particle" : "V", "family" : "Piddock", "given" : "Laura J", "non-dropping-particle" : "", "parse-names" : false, "suffix" : "" } ], "container-title" : "Antimicrobial agents and chemotherapy", "id" : "ITEM-1", "issue" : "9", "issued" : { "date-parts" : [ [ "2012", "9" ] ] }, "page" : "4703-6", "title" : "Persistence of transferable extended-spectrum-\u03b2-lactamase resistance in the absence of antibiotic pressure.", "type" : "article-journal", "volume" : "56" }, "uris" : [ "http://www.mendeley.com/documents/?uuid=602bbe72-b2f3-4f3a-b355-f5cffc70603c" ] } ], "mendeley" : { "formattedCitation" : "&lt;sup&gt;80&lt;/sup&gt;", "plainTextFormattedCitation" : "80", "previouslyFormattedCitation" : "&lt;sup&gt;81&lt;/sup&gt;" }, "properties" : { "noteIndex" : 0 }, "schema" : "https://github.com/citation-style-language/schema/raw/master/csl-citation.json" }</w:instrText>
      </w:r>
      <w:r w:rsidRPr="000767AE">
        <w:rPr>
          <w:rFonts w:ascii="Arial" w:hAnsi="Arial" w:cs="Arial"/>
          <w:sz w:val="24"/>
          <w:szCs w:val="24"/>
        </w:rPr>
        <w:fldChar w:fldCharType="separate"/>
      </w:r>
      <w:r w:rsidR="009E0BAE" w:rsidRPr="009E0BAE">
        <w:rPr>
          <w:rFonts w:ascii="Arial" w:hAnsi="Arial" w:cs="Arial"/>
          <w:noProof/>
          <w:sz w:val="24"/>
          <w:szCs w:val="24"/>
          <w:vertAlign w:val="superscript"/>
        </w:rPr>
        <w:t>80</w:t>
      </w:r>
      <w:r w:rsidRPr="000767AE">
        <w:rPr>
          <w:rFonts w:ascii="Arial" w:hAnsi="Arial" w:cs="Arial"/>
          <w:sz w:val="24"/>
          <w:szCs w:val="24"/>
        </w:rPr>
        <w:fldChar w:fldCharType="end"/>
      </w:r>
      <w:r w:rsidRPr="000767AE">
        <w:rPr>
          <w:rFonts w:ascii="Arial" w:hAnsi="Arial" w:cs="Arial"/>
          <w:sz w:val="24"/>
          <w:szCs w:val="24"/>
        </w:rPr>
        <w:t xml:space="preserve"> </w:t>
      </w:r>
    </w:p>
    <w:p w14:paraId="5C4411D1" w14:textId="77777777" w:rsidR="00A053CE" w:rsidRPr="000767AE" w:rsidRDefault="00A053CE" w:rsidP="00A053CE">
      <w:pPr>
        <w:rPr>
          <w:rFonts w:ascii="Arial" w:hAnsi="Arial" w:cs="Arial"/>
          <w:sz w:val="24"/>
          <w:szCs w:val="24"/>
        </w:rPr>
      </w:pPr>
    </w:p>
    <w:p w14:paraId="3A6C67FA" w14:textId="77777777" w:rsidR="00A053CE" w:rsidRPr="000767AE" w:rsidRDefault="00A053CE" w:rsidP="00A053CE">
      <w:pPr>
        <w:pStyle w:val="Heading3"/>
        <w:spacing w:before="0"/>
        <w:rPr>
          <w:rFonts w:ascii="Arial" w:hAnsi="Arial"/>
          <w:i/>
          <w:color w:val="243F60"/>
          <w:lang w:eastAsia="en-GB"/>
        </w:rPr>
      </w:pPr>
      <w:r w:rsidRPr="000767AE">
        <w:rPr>
          <w:rFonts w:ascii="Arial" w:hAnsi="Arial"/>
          <w:i/>
          <w:lang w:eastAsia="en-GB"/>
        </w:rPr>
        <w:t>2) Is emergence of resistance reversible?</w:t>
      </w:r>
    </w:p>
    <w:p w14:paraId="6BDDAE9F" w14:textId="337339D0" w:rsidR="00A053CE" w:rsidRPr="000767AE" w:rsidRDefault="00A053CE" w:rsidP="00A053CE">
      <w:pPr>
        <w:rPr>
          <w:rFonts w:ascii="Arial" w:hAnsi="Arial" w:cs="Arial"/>
          <w:sz w:val="24"/>
          <w:szCs w:val="24"/>
          <w:lang w:val="en-US"/>
        </w:rPr>
      </w:pPr>
      <w:r w:rsidRPr="000767AE">
        <w:rPr>
          <w:rFonts w:ascii="Arial" w:hAnsi="Arial" w:cs="Arial"/>
          <w:sz w:val="24"/>
          <w:szCs w:val="24"/>
          <w:lang w:val="en-US"/>
        </w:rPr>
        <w:t xml:space="preserve">One strategy to reduce the </w:t>
      </w:r>
      <w:r w:rsidR="00BC5746" w:rsidRPr="000767AE">
        <w:rPr>
          <w:rFonts w:ascii="Arial" w:hAnsi="Arial" w:cs="Arial"/>
          <w:sz w:val="24"/>
          <w:szCs w:val="24"/>
          <w:lang w:val="en-US"/>
        </w:rPr>
        <w:t xml:space="preserve">development and spread </w:t>
      </w:r>
      <w:r w:rsidRPr="000767AE">
        <w:rPr>
          <w:rFonts w:ascii="Arial" w:hAnsi="Arial" w:cs="Arial"/>
          <w:sz w:val="24"/>
          <w:szCs w:val="24"/>
          <w:lang w:val="en-US"/>
        </w:rPr>
        <w:t xml:space="preserve">of AMR is to lower the selective pressure by limiting or suspending the use of antimicrobials. This is based upon the assumption that resistant </w:t>
      </w:r>
      <w:r w:rsidR="00AC4C47" w:rsidRPr="000767AE">
        <w:rPr>
          <w:rFonts w:ascii="Arial" w:hAnsi="Arial" w:cs="Arial"/>
          <w:sz w:val="24"/>
          <w:szCs w:val="24"/>
          <w:lang w:val="en-US"/>
        </w:rPr>
        <w:t xml:space="preserve">micro-organisms </w:t>
      </w:r>
      <w:r w:rsidRPr="000767AE">
        <w:rPr>
          <w:rFonts w:ascii="Arial" w:hAnsi="Arial" w:cs="Arial"/>
          <w:sz w:val="24"/>
          <w:szCs w:val="24"/>
          <w:lang w:val="en-US"/>
        </w:rPr>
        <w:t>will be outnumbered by susceptible strains if the selective advantage of possessing the resistance determinant is diminished</w:t>
      </w:r>
      <w:r w:rsidR="00905303" w:rsidRPr="00905303">
        <w:rPr>
          <w:rFonts w:ascii="Arial" w:hAnsi="Arial" w:cs="Arial"/>
          <w:sz w:val="24"/>
          <w:szCs w:val="24"/>
          <w:highlight w:val="yellow"/>
          <w:lang w:val="en-US"/>
        </w:rPr>
        <w:t>,</w:t>
      </w:r>
      <w:r w:rsidR="00905303" w:rsidRPr="00905303">
        <w:rPr>
          <w:rFonts w:ascii="Arial" w:hAnsi="Arial" w:cs="Arial"/>
          <w:sz w:val="24"/>
          <w:szCs w:val="24"/>
          <w:highlight w:val="yellow"/>
          <w:lang w:val="en-US"/>
        </w:rPr>
        <w:fldChar w:fldCharType="begin" w:fldLock="1"/>
      </w:r>
      <w:r w:rsidR="009E0BAE">
        <w:rPr>
          <w:rFonts w:ascii="Arial" w:hAnsi="Arial" w:cs="Arial"/>
          <w:sz w:val="24"/>
          <w:szCs w:val="24"/>
          <w:highlight w:val="yellow"/>
          <w:lang w:val="en-US"/>
        </w:rPr>
        <w:instrText>ADDIN CSL_CITATION { "citationItems" : [ { "id" : "ITEM-1", "itemData" : { "DOI" : "10.1111/j.1574-6976.2011.00289.x", "ISSN" : "1574-6976", "PMID" : "21707669", "abstract" : "Unfortunately for mankind, it is very likely that the antibiotic resistance problem we have generated during the last 60 years due to the extensive use and misuse of antibiotics is here to stay for the foreseeable future. This view is based on theoretical arguments, mathematical modeling, experiments and clinical interventions, suggesting that even if we could reduce antibiotic use, resistant clones would remain persistent and only slowly (if at all) be outcompeted by their susceptible relatives. In this review, we discuss the multitude of mechanisms and processes that are involved in causing the persistence of chromosomal and plasmid-borne resistance determinants and how we might use them to our advantage to increase the likelihood of reversing the problem. Of particular interest is the recent demonstration that a very low antibiotic concentration can be enriching for resistant bacteria and the implication that antibiotic release into the environment could contribute to the selection for resistance. Several mechanisms are contributing to the stability of antibiotic resistance in bacterial populations and even if antibiotic use is reduced it is likely that most resistance mechanisms will persist for considerable times.", "author" : [ { "dropping-particle" : "", "family" : "Andersson", "given" : "Dan I", "non-dropping-particle" : "", "parse-names" : false, "suffix" : "" }, { "dropping-particle" : "", "family" : "Hughes", "given" : "Diarmaid", "non-dropping-particle" : "", "parse-names" : false, "suffix" : "" } ], "container-title" : "FEMS Microbiology Reviews", "id" : "ITEM-1", "issue" : "5", "issued" : { "date-parts" : [ [ "2011", "9" ] ] }, "page" : "901-11", "title" : "Persistence of antibiotic resistance in bacterial populations.", "type" : "article-journal", "volume" : "35" }, "uris" : [ "http://www.mendeley.com/documents/?uuid=c4b433f5-3a8f-4dee-8aee-ddd43cb7c64f" ] } ], "mendeley" : { "formattedCitation" : "&lt;sup&gt;81&lt;/sup&gt;", "plainTextFormattedCitation" : "81", "previouslyFormattedCitation" : "&lt;sup&gt;82&lt;/sup&gt;" }, "properties" : { "noteIndex" : 0 }, "schema" : "https://github.com/citation-style-language/schema/raw/master/csl-citation.json" }</w:instrText>
      </w:r>
      <w:r w:rsidR="00905303" w:rsidRPr="00905303">
        <w:rPr>
          <w:rFonts w:ascii="Arial" w:hAnsi="Arial" w:cs="Arial"/>
          <w:sz w:val="24"/>
          <w:szCs w:val="24"/>
          <w:highlight w:val="yellow"/>
          <w:lang w:val="en-US"/>
        </w:rPr>
        <w:fldChar w:fldCharType="separate"/>
      </w:r>
      <w:r w:rsidR="009E0BAE" w:rsidRPr="009E0BAE">
        <w:rPr>
          <w:rFonts w:ascii="Arial" w:hAnsi="Arial" w:cs="Arial"/>
          <w:noProof/>
          <w:sz w:val="24"/>
          <w:szCs w:val="24"/>
          <w:highlight w:val="yellow"/>
          <w:vertAlign w:val="superscript"/>
          <w:lang w:val="en-US"/>
        </w:rPr>
        <w:t>81</w:t>
      </w:r>
      <w:r w:rsidR="00905303" w:rsidRPr="00905303">
        <w:rPr>
          <w:rFonts w:ascii="Arial" w:hAnsi="Arial" w:cs="Arial"/>
          <w:sz w:val="24"/>
          <w:szCs w:val="24"/>
          <w:highlight w:val="yellow"/>
          <w:lang w:val="en-US"/>
        </w:rPr>
        <w:fldChar w:fldCharType="end"/>
      </w:r>
      <w:r w:rsidRPr="000767AE">
        <w:rPr>
          <w:rFonts w:ascii="Arial" w:hAnsi="Arial" w:cs="Arial"/>
          <w:sz w:val="24"/>
          <w:szCs w:val="24"/>
          <w:lang w:val="en-US"/>
        </w:rPr>
        <w:t xml:space="preserve"> but as noted this is not always true</w:t>
      </w:r>
      <w:r w:rsidR="0086741D" w:rsidRPr="000767AE">
        <w:rPr>
          <w:rFonts w:ascii="Arial" w:hAnsi="Arial" w:cs="Arial"/>
          <w:sz w:val="24"/>
          <w:szCs w:val="24"/>
          <w:lang w:val="en-US"/>
        </w:rPr>
        <w:t xml:space="preserve"> </w:t>
      </w:r>
      <w:r w:rsidRPr="000767AE">
        <w:rPr>
          <w:rFonts w:ascii="Arial" w:hAnsi="Arial" w:cs="Arial"/>
          <w:sz w:val="24"/>
          <w:szCs w:val="24"/>
          <w:lang w:val="en-US"/>
        </w:rPr>
        <w:t>(</w:t>
      </w:r>
      <w:r w:rsidRPr="000767AE">
        <w:rPr>
          <w:rFonts w:ascii="Arial" w:hAnsi="Arial" w:cs="Arial"/>
          <w:b/>
          <w:sz w:val="24"/>
          <w:szCs w:val="24"/>
          <w:lang w:val="en-US"/>
        </w:rPr>
        <w:t>Panel 1</w:t>
      </w:r>
      <w:r w:rsidRPr="000767AE">
        <w:rPr>
          <w:rFonts w:ascii="Arial" w:hAnsi="Arial" w:cs="Arial"/>
          <w:sz w:val="24"/>
          <w:szCs w:val="24"/>
          <w:lang w:val="en-US"/>
        </w:rPr>
        <w:t>).</w:t>
      </w:r>
      <w:r w:rsidR="00880652" w:rsidRPr="000767AE">
        <w:rPr>
          <w:rFonts w:ascii="Arial" w:hAnsi="Arial" w:cs="Arial"/>
          <w:sz w:val="24"/>
          <w:szCs w:val="24"/>
          <w:lang w:val="en-US"/>
        </w:rPr>
        <w:t xml:space="preserve"> Mathematical models have increasingly been used to identify, predict and help design intervention program</w:t>
      </w:r>
      <w:r w:rsidR="00A1490E" w:rsidRPr="000767AE">
        <w:rPr>
          <w:rFonts w:ascii="Arial" w:hAnsi="Arial" w:cs="Arial"/>
          <w:sz w:val="24"/>
          <w:szCs w:val="24"/>
          <w:lang w:val="en-US"/>
        </w:rPr>
        <w:t>me</w:t>
      </w:r>
      <w:r w:rsidR="00880652" w:rsidRPr="000767AE">
        <w:rPr>
          <w:rFonts w:ascii="Arial" w:hAnsi="Arial" w:cs="Arial"/>
          <w:sz w:val="24"/>
          <w:szCs w:val="24"/>
          <w:lang w:val="en-US"/>
        </w:rPr>
        <w:t xml:space="preserve">s for </w:t>
      </w:r>
      <w:r w:rsidR="0086741D" w:rsidRPr="000767AE">
        <w:rPr>
          <w:rFonts w:ascii="Arial" w:hAnsi="Arial" w:cs="Arial"/>
          <w:sz w:val="24"/>
          <w:szCs w:val="24"/>
          <w:lang w:val="en-US"/>
        </w:rPr>
        <w:t>AMR</w:t>
      </w:r>
      <w:r w:rsidR="00905303" w:rsidRPr="00905303">
        <w:rPr>
          <w:rFonts w:ascii="Arial" w:hAnsi="Arial" w:cs="Arial"/>
          <w:sz w:val="24"/>
          <w:szCs w:val="24"/>
          <w:highlight w:val="yellow"/>
          <w:lang w:val="en-US"/>
        </w:rPr>
        <w:t>.</w:t>
      </w:r>
      <w:r w:rsidR="00905303" w:rsidRPr="00905303">
        <w:rPr>
          <w:rFonts w:ascii="Arial" w:hAnsi="Arial" w:cs="Arial"/>
          <w:sz w:val="24"/>
          <w:szCs w:val="24"/>
          <w:highlight w:val="yellow"/>
          <w:lang w:val="en-US"/>
        </w:rPr>
        <w:fldChar w:fldCharType="begin" w:fldLock="1"/>
      </w:r>
      <w:r w:rsidR="009E0BAE">
        <w:rPr>
          <w:rFonts w:ascii="Arial" w:hAnsi="Arial" w:cs="Arial"/>
          <w:sz w:val="24"/>
          <w:szCs w:val="24"/>
          <w:highlight w:val="yellow"/>
          <w:lang w:val="en-US"/>
        </w:rPr>
        <w:instrText>ADDIN CSL_CITATION { "citationItems" : [ { "id" : "ITEM-1", "itemData" : { "DOI" : "10.1017/S0950268807009442", "ISSN" : "0950-2688", "PMID" : "17767792", "abstract" : "Mathematical modelling of infectious diseases has gradually become part of public health decision-making in recent years. However, the developing status of modelling in epidemiology and its relationship with other relevant scientific approaches have never been assessed quantitatively. Herein, using antibiotic resistance as a case study, 60 published models were analysed. Their interactions with other scientific fields are reported and their citation impact evaluated, as well as temporal trends. The yearly number of antibiotic resistance modelling publications increased significantly between 1990 and 2006. This rise cannot be explained by the surge of interest in resistance phenomena alone. Moreover, modelling articles are, on average, among the most frequently cited third of articles from the journal in which they were published. The results of this analysis, which might be applicable to other emerging public health problems, demonstrate the growing interest in mathematical modelling approaches to evaluate antibiotic resistance.", "author" : [ { "dropping-particle" : "", "family" : "Temime", "given" : "L", "non-dropping-particle" : "", "parse-names" : false, "suffix" : "" }, { "dropping-particle" : "", "family" : "Hejblum", "given" : "G", "non-dropping-particle" : "", "parse-names" : false, "suffix" : "" }, { "dropping-particle" : "", "family" : "Setbon", "given" : "M", "non-dropping-particle" : "", "parse-names" : false, "suffix" : "" }, { "dropping-particle" : "", "family" : "Valleron", "given" : "A J", "non-dropping-particle" : "", "parse-names" : false, "suffix" : "" } ], "container-title" : "Epidemiology and Infection", "id" : "ITEM-1", "issue" : "3", "issued" : { "date-parts" : [ [ "2008", "3" ] ] }, "page" : "289-98", "title" : "The rising impact of mathematical modelling in epidemiology: antibiotic resistance research as a case study.", "type" : "article-journal", "volume" : "136" }, "uris" : [ "http://www.mendeley.com/documents/?uuid=bfe574bb-1f23-4f1c-b41c-173cb65908b8" ] } ], "mendeley" : { "formattedCitation" : "&lt;sup&gt;82&lt;/sup&gt;", "plainTextFormattedCitation" : "82", "previouslyFormattedCitation" : "&lt;sup&gt;83&lt;/sup&gt;" }, "properties" : { "noteIndex" : 0 }, "schema" : "https://github.com/citation-style-language/schema/raw/master/csl-citation.json" }</w:instrText>
      </w:r>
      <w:r w:rsidR="00905303" w:rsidRPr="00905303">
        <w:rPr>
          <w:rFonts w:ascii="Arial" w:hAnsi="Arial" w:cs="Arial"/>
          <w:sz w:val="24"/>
          <w:szCs w:val="24"/>
          <w:highlight w:val="yellow"/>
          <w:lang w:val="en-US"/>
        </w:rPr>
        <w:fldChar w:fldCharType="separate"/>
      </w:r>
      <w:r w:rsidR="009E0BAE" w:rsidRPr="009E0BAE">
        <w:rPr>
          <w:rFonts w:ascii="Arial" w:hAnsi="Arial" w:cs="Arial"/>
          <w:noProof/>
          <w:sz w:val="24"/>
          <w:szCs w:val="24"/>
          <w:highlight w:val="yellow"/>
          <w:vertAlign w:val="superscript"/>
          <w:lang w:val="en-US"/>
        </w:rPr>
        <w:t>82</w:t>
      </w:r>
      <w:r w:rsidR="00905303" w:rsidRPr="00905303">
        <w:rPr>
          <w:rFonts w:ascii="Arial" w:hAnsi="Arial" w:cs="Arial"/>
          <w:sz w:val="24"/>
          <w:szCs w:val="24"/>
          <w:highlight w:val="yellow"/>
          <w:lang w:val="en-US"/>
        </w:rPr>
        <w:fldChar w:fldCharType="end"/>
      </w:r>
      <w:r w:rsidR="00880652" w:rsidRPr="000767AE">
        <w:rPr>
          <w:rFonts w:ascii="Arial" w:hAnsi="Arial" w:cs="Arial"/>
          <w:sz w:val="24"/>
          <w:szCs w:val="24"/>
          <w:lang w:val="en-US"/>
        </w:rPr>
        <w:t xml:space="preserve"> These models </w:t>
      </w:r>
      <w:r w:rsidR="00A15B05" w:rsidRPr="000767AE">
        <w:rPr>
          <w:rFonts w:ascii="Arial" w:hAnsi="Arial" w:cs="Arial"/>
          <w:sz w:val="24"/>
          <w:szCs w:val="24"/>
          <w:lang w:val="en-US"/>
        </w:rPr>
        <w:t xml:space="preserve">support </w:t>
      </w:r>
      <w:r w:rsidR="00880652" w:rsidRPr="000767AE">
        <w:rPr>
          <w:rFonts w:ascii="Arial" w:hAnsi="Arial" w:cs="Arial"/>
          <w:sz w:val="24"/>
          <w:szCs w:val="24"/>
          <w:lang w:val="en-US"/>
        </w:rPr>
        <w:t xml:space="preserve">antimicrobial exposure </w:t>
      </w:r>
      <w:r w:rsidR="00A15B05" w:rsidRPr="000767AE">
        <w:rPr>
          <w:rFonts w:ascii="Arial" w:hAnsi="Arial" w:cs="Arial"/>
          <w:sz w:val="24"/>
          <w:szCs w:val="24"/>
          <w:lang w:val="en-US"/>
        </w:rPr>
        <w:t xml:space="preserve">as </w:t>
      </w:r>
      <w:r w:rsidR="00880652" w:rsidRPr="000767AE">
        <w:rPr>
          <w:rFonts w:ascii="Arial" w:hAnsi="Arial" w:cs="Arial"/>
          <w:sz w:val="24"/>
          <w:szCs w:val="24"/>
          <w:lang w:val="en-US"/>
        </w:rPr>
        <w:t xml:space="preserve">central to </w:t>
      </w:r>
      <w:r w:rsidR="00A15B05" w:rsidRPr="000767AE">
        <w:rPr>
          <w:rFonts w:ascii="Arial" w:hAnsi="Arial" w:cs="Arial"/>
          <w:sz w:val="24"/>
          <w:szCs w:val="24"/>
          <w:lang w:val="en-US"/>
        </w:rPr>
        <w:t>resistance</w:t>
      </w:r>
      <w:r w:rsidR="00880652" w:rsidRPr="000767AE">
        <w:rPr>
          <w:rFonts w:ascii="Arial" w:hAnsi="Arial" w:cs="Arial"/>
          <w:sz w:val="24"/>
          <w:szCs w:val="24"/>
          <w:lang w:val="en-US"/>
        </w:rPr>
        <w:t xml:space="preserve"> emergence and spread</w:t>
      </w:r>
      <w:r w:rsidR="00A15B05" w:rsidRPr="000767AE">
        <w:rPr>
          <w:rFonts w:ascii="Arial" w:hAnsi="Arial" w:cs="Arial"/>
          <w:sz w:val="24"/>
          <w:szCs w:val="24"/>
          <w:lang w:val="en-US"/>
        </w:rPr>
        <w:t>,</w:t>
      </w:r>
      <w:r w:rsidR="00880652" w:rsidRPr="000767AE">
        <w:rPr>
          <w:rFonts w:ascii="Arial" w:hAnsi="Arial" w:cs="Arial"/>
          <w:sz w:val="24"/>
          <w:szCs w:val="24"/>
          <w:lang w:val="en-US"/>
        </w:rPr>
        <w:t xml:space="preserve"> </w:t>
      </w:r>
      <w:r w:rsidR="00A15B05" w:rsidRPr="000767AE">
        <w:rPr>
          <w:rFonts w:ascii="Arial" w:hAnsi="Arial" w:cs="Arial"/>
          <w:sz w:val="24"/>
          <w:szCs w:val="24"/>
          <w:lang w:val="en-US"/>
        </w:rPr>
        <w:t>but importantly</w:t>
      </w:r>
      <w:r w:rsidR="00DD3308" w:rsidRPr="000767AE">
        <w:rPr>
          <w:rFonts w:ascii="Arial" w:hAnsi="Arial" w:cs="Arial"/>
          <w:sz w:val="24"/>
          <w:szCs w:val="24"/>
          <w:lang w:val="en-US"/>
        </w:rPr>
        <w:t xml:space="preserve"> </w:t>
      </w:r>
      <w:r w:rsidR="00DC1DA7" w:rsidRPr="000767AE">
        <w:rPr>
          <w:rFonts w:ascii="Arial" w:hAnsi="Arial" w:cs="Arial"/>
          <w:sz w:val="24"/>
          <w:szCs w:val="24"/>
          <w:lang w:val="en-US"/>
        </w:rPr>
        <w:t xml:space="preserve">do </w:t>
      </w:r>
      <w:r w:rsidR="00A15B05" w:rsidRPr="000767AE">
        <w:rPr>
          <w:rFonts w:ascii="Arial" w:hAnsi="Arial" w:cs="Arial"/>
          <w:sz w:val="24"/>
          <w:szCs w:val="24"/>
          <w:lang w:val="en-US"/>
        </w:rPr>
        <w:t xml:space="preserve">find </w:t>
      </w:r>
      <w:r w:rsidR="00880652" w:rsidRPr="000767AE">
        <w:rPr>
          <w:rFonts w:ascii="Arial" w:hAnsi="Arial" w:cs="Arial"/>
          <w:sz w:val="24"/>
          <w:szCs w:val="24"/>
          <w:lang w:val="en-US"/>
        </w:rPr>
        <w:t xml:space="preserve">correlations between reduction in antimicrobial use and falls in </w:t>
      </w:r>
      <w:r w:rsidR="00DC1DA7" w:rsidRPr="000767AE">
        <w:rPr>
          <w:rFonts w:ascii="Arial" w:hAnsi="Arial" w:cs="Arial"/>
          <w:sz w:val="24"/>
          <w:szCs w:val="24"/>
          <w:lang w:val="en-US"/>
        </w:rPr>
        <w:t>AMR</w:t>
      </w:r>
      <w:r w:rsidR="00A15B05" w:rsidRPr="000767AE">
        <w:rPr>
          <w:rFonts w:ascii="Arial" w:hAnsi="Arial" w:cs="Arial"/>
          <w:sz w:val="24"/>
          <w:szCs w:val="24"/>
          <w:lang w:val="en-US"/>
        </w:rPr>
        <w:t>,</w:t>
      </w:r>
      <w:r w:rsidR="00880652" w:rsidRPr="000767AE">
        <w:rPr>
          <w:rFonts w:ascii="Arial" w:hAnsi="Arial" w:cs="Arial"/>
          <w:sz w:val="24"/>
          <w:szCs w:val="24"/>
          <w:lang w:val="en-US"/>
        </w:rPr>
        <w:t xml:space="preserve"> at both the individual patient</w:t>
      </w:r>
      <w:r w:rsidR="00880652"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"10.1136/bmj.c2096", "author" : [ { "dropping-particle" : "", "family" : "Costelloe", "given" : "Ceire", "non-dropping-particle" : "", "parse-names" : false, "suffix" : "" }, { "dropping-particle" : "", "family" : "Metcalfe", "given" : "Chris", "non-dropping-particle" : "", "parse-names" : false, "suffix" : "" }, { "dropping-particle" : "", "family" : "Lovering", "given" : "Andrew", "non-dropping-particle" : "", "parse-names" : false, "suffix" : "" }, { "dropping-particle" : "", "family" : "Mant", "given" : "David", "non-dropping-particle" : "", "parse-names" : false, "suffix" : "" }, { "dropping-particle" : "", "family" : "Hay", "given" : "Alastair D", "non-dropping-particle" : "", "parse-names" : false, "suffix" : "" } ], "container-title" : "British Medical Journal", "id" : "ITEM-1", "issued" : { "date-parts" : [ [ "2010" ] ] }, "page" : "c2096", "title" : "Effect of antibiotic prescribing in primary care on antimicrobial resistance in individual patients: systematic review and meta-analysis", "type" : "article-journal", "volume" : "340" }, "uris" : [ "http://www.mendeley.com/documents/?uuid=3526db01-d112-44cf-b143-b07e29f16951" ] } ], "mendeley" : { "formattedCitation" : "&lt;sup&gt;83&lt;/sup&gt;", "plainTextFormattedCitation" : "83", "previouslyFormattedCitation" : "&lt;sup&gt;84&lt;/sup&gt;" }, "properties" : { "noteIndex" : 0 }, "schema" : "https://github.com/citation-style-language/schema/raw/master/csl-citation.json" }</w:instrText>
      </w:r>
      <w:r w:rsidR="00880652"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83</w:t>
      </w:r>
      <w:r w:rsidR="00880652" w:rsidRPr="000767AE">
        <w:rPr>
          <w:rFonts w:ascii="Arial" w:hAnsi="Arial" w:cs="Arial"/>
          <w:sz w:val="24"/>
          <w:szCs w:val="24"/>
          <w:lang w:val="en-US"/>
        </w:rPr>
        <w:fldChar w:fldCharType="end"/>
      </w:r>
      <w:r w:rsidR="00880652" w:rsidRPr="000767AE">
        <w:rPr>
          <w:rFonts w:ascii="Arial" w:hAnsi="Arial" w:cs="Arial"/>
          <w:sz w:val="24"/>
          <w:szCs w:val="24"/>
          <w:lang w:val="en-US"/>
        </w:rPr>
        <w:t xml:space="preserve"> and human population level</w:t>
      </w:r>
      <w:r w:rsidR="00A15B05" w:rsidRPr="000767AE">
        <w:rPr>
          <w:rFonts w:ascii="Arial" w:hAnsi="Arial" w:cs="Arial"/>
          <w:sz w:val="24"/>
          <w:szCs w:val="24"/>
          <w:lang w:val="en-US"/>
        </w:rPr>
        <w:t>s</w:t>
      </w:r>
      <w:r w:rsidR="00880652" w:rsidRPr="000767AE">
        <w:rPr>
          <w:rFonts w:ascii="Arial" w:hAnsi="Arial" w:cs="Arial"/>
          <w:sz w:val="24"/>
          <w:szCs w:val="24"/>
          <w:lang w:val="en-US"/>
        </w:rPr>
        <w:t>.</w:t>
      </w:r>
      <w:r w:rsidR="00880652"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"10.1016/S0140-6736(05)17907-0", "ISSN" : "1474-547X", "PMID" : "15708101", "abstract" : "BACKGROUND: Resistance to antibiotics is a major public-health problem and antibiotic use is being increasingly recognised as the main selective pressure driving this resistance. Our aim was to assess outpatient use of antibiotics and the association with resistance.\n\nMETHODS: We investigated outpatient antibiotic use in 26 countries in Europe that provided internationally comparable distribution or reimbursement data, between Jan 1, 1997, and Dec 31, 2002, by calculating the number of defined daily doses (DDD) per 1000 inhabitants per day, according to WHO anatomic therapeutic chemical classification and DDD measurement methodology. We assessed the ecological association between antibiotic use and antibiotic resistance rates using Spearman's correlation coefficients.\n\nFINDINGS: Prescription of antibiotics in primary care in Europe varied greatly; the highest rate was in France (32.2 DDD per 1000 inhabitants daily) and the lowest was in the Netherlands (10.0 DDD per 1000 inhabitants daily). We noted a shift from the old narrow-spectrum antibiotics to the new broad-spectrum antibiotics. We also recorded striking seasonal fluctuations with heightened winter peaks in countries with high yearly use of antibiotics. We showed higher rates of antibiotic resistance in high consuming countries, probably related to the higher consumption in southern and eastern Europe than in northern Europe.\n\nINTERPRETATION: These data might provide a useful method for assessing public-health strategies that aim to reduce antibiotic use and resistance levels.", "author" : [ { "dropping-particle" : "", "family" : "Goossens", "given" : "Herman", "non-dropping-particle" : "", "parse-names" : false, "suffix" : "" }, { "dropping-particle" : "", "family" : "Ferech", "given" : "Matus", "non-dropping-particle" : "", "parse-names" : false, "suffix" : "" }, { "dropping-particle" : "", "family" : "Stichele", "given" : "Robert", "non-dropping-particle" : "Vander", "parse-names" : false, "suffix" : "" }, { "dropping-particle" : "", "family" : "Elseviers", "given" : "Monique", "non-dropping-particle" : "", "parse-names" : false, "suffix" : "" } ], "container-title" : "Lancet", "id" : "ITEM-1", "issue" : "9459", "issued" : { "date-parts" : [ [ "2005" ] ] }, "page" : "579-87", "title" : "Outpatient antibiotic use in Europe and association with resistance: a cross-national database study.", "type" : "article-journal", "volume" : "365" }, "uris" : [ "http://www.mendeley.com/documents/?uuid=2b54237d-f870-4819-be3d-b5e3e11e0813" ] } ], "mendeley" : { "formattedCitation" : "&lt;sup&gt;84&lt;/sup&gt;", "plainTextFormattedCitation" : "84", "previouslyFormattedCitation" : "&lt;sup&gt;85&lt;/sup&gt;" }, "properties" : { "noteIndex" : 0 }, "schema" : "https://github.com/citation-style-language/schema/raw/master/csl-citation.json" }</w:instrText>
      </w:r>
      <w:r w:rsidR="00880652"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84</w:t>
      </w:r>
      <w:r w:rsidR="00880652" w:rsidRPr="000767AE">
        <w:rPr>
          <w:rFonts w:ascii="Arial" w:hAnsi="Arial" w:cs="Arial"/>
          <w:sz w:val="24"/>
          <w:szCs w:val="24"/>
          <w:lang w:val="en-US"/>
        </w:rPr>
        <w:fldChar w:fldCharType="end"/>
      </w:r>
    </w:p>
    <w:p w14:paraId="3280EA92" w14:textId="77777777" w:rsidR="00A053CE" w:rsidRPr="000767AE" w:rsidRDefault="00A053CE" w:rsidP="00A053CE">
      <w:pPr>
        <w:rPr>
          <w:rFonts w:ascii="Arial" w:hAnsi="Arial" w:cs="Arial"/>
          <w:sz w:val="24"/>
          <w:szCs w:val="24"/>
          <w:lang w:val="en-US"/>
        </w:rPr>
      </w:pPr>
    </w:p>
    <w:p w14:paraId="16B3B098" w14:textId="2B257AAB" w:rsidR="00A053CE" w:rsidRPr="000767AE" w:rsidRDefault="00A053CE" w:rsidP="00A053CE">
      <w:pPr>
        <w:rPr>
          <w:rFonts w:ascii="Arial" w:hAnsi="Arial" w:cs="Arial"/>
          <w:sz w:val="24"/>
          <w:szCs w:val="24"/>
          <w:lang w:val="en-US"/>
        </w:rPr>
      </w:pPr>
      <w:r w:rsidRPr="000767AE">
        <w:rPr>
          <w:rFonts w:ascii="Arial" w:hAnsi="Arial" w:cs="Arial"/>
          <w:sz w:val="24"/>
          <w:szCs w:val="24"/>
          <w:lang w:val="en-US"/>
        </w:rPr>
        <w:t xml:space="preserve">Complete eradication of AMR in populations </w:t>
      </w:r>
      <w:r w:rsidR="00A1490E" w:rsidRPr="000767AE">
        <w:rPr>
          <w:rFonts w:ascii="Arial" w:hAnsi="Arial" w:cs="Arial"/>
          <w:sz w:val="24"/>
          <w:szCs w:val="24"/>
          <w:lang w:val="en-US"/>
        </w:rPr>
        <w:t xml:space="preserve">of microbes </w:t>
      </w:r>
      <w:r w:rsidRPr="000767AE">
        <w:rPr>
          <w:rFonts w:ascii="Arial" w:hAnsi="Arial" w:cs="Arial"/>
          <w:sz w:val="24"/>
          <w:szCs w:val="24"/>
          <w:lang w:val="en-US"/>
        </w:rPr>
        <w:t>following re</w:t>
      </w:r>
      <w:r w:rsidR="00A1490E" w:rsidRPr="000767AE">
        <w:rPr>
          <w:rFonts w:ascii="Arial" w:hAnsi="Arial" w:cs="Arial"/>
          <w:sz w:val="24"/>
          <w:szCs w:val="24"/>
          <w:lang w:val="en-US"/>
        </w:rPr>
        <w:t>duced</w:t>
      </w:r>
      <w:r w:rsidRPr="000767AE">
        <w:rPr>
          <w:rFonts w:ascii="Arial" w:hAnsi="Arial" w:cs="Arial"/>
          <w:sz w:val="24"/>
          <w:szCs w:val="24"/>
          <w:lang w:val="en-US"/>
        </w:rPr>
        <w:t xml:space="preserve"> selective pressure</w:t>
      </w:r>
      <w:r w:rsidR="00A1490E" w:rsidRPr="000767AE">
        <w:rPr>
          <w:rFonts w:ascii="Arial" w:hAnsi="Arial" w:cs="Arial"/>
          <w:sz w:val="24"/>
          <w:szCs w:val="24"/>
          <w:lang w:val="en-US"/>
        </w:rPr>
        <w:t xml:space="preserve"> from antimicrobials</w:t>
      </w:r>
      <w:r w:rsidRPr="000767AE">
        <w:rPr>
          <w:rFonts w:ascii="Arial" w:hAnsi="Arial" w:cs="Arial"/>
          <w:sz w:val="24"/>
          <w:szCs w:val="24"/>
          <w:lang w:val="en-US"/>
        </w:rPr>
        <w:t xml:space="preserve"> is </w:t>
      </w:r>
      <w:r w:rsidR="0086741D" w:rsidRPr="000767AE">
        <w:rPr>
          <w:rFonts w:ascii="Arial" w:hAnsi="Arial" w:cs="Arial"/>
          <w:sz w:val="24"/>
          <w:szCs w:val="24"/>
          <w:lang w:val="en-US"/>
        </w:rPr>
        <w:t xml:space="preserve">however </w:t>
      </w:r>
      <w:r w:rsidRPr="000767AE">
        <w:rPr>
          <w:rFonts w:ascii="Arial" w:hAnsi="Arial" w:cs="Arial"/>
          <w:sz w:val="24"/>
          <w:szCs w:val="24"/>
          <w:lang w:val="en-US"/>
        </w:rPr>
        <w:t xml:space="preserve">not straightforward. Resistance determinants are easy </w:t>
      </w:r>
      <w:r w:rsidR="00A1490E" w:rsidRPr="000767AE">
        <w:rPr>
          <w:rFonts w:ascii="Arial" w:hAnsi="Arial" w:cs="Arial"/>
          <w:sz w:val="24"/>
          <w:szCs w:val="24"/>
          <w:lang w:val="en-US"/>
        </w:rPr>
        <w:t xml:space="preserve">for microbes </w:t>
      </w:r>
      <w:r w:rsidRPr="000767AE">
        <w:rPr>
          <w:rFonts w:ascii="Arial" w:hAnsi="Arial" w:cs="Arial"/>
          <w:sz w:val="24"/>
          <w:szCs w:val="24"/>
          <w:lang w:val="en-US"/>
        </w:rPr>
        <w:t xml:space="preserve">to acquire and may persist at low, but detectable, levels for many years in the absence of particular </w:t>
      </w:r>
      <w:r w:rsidRPr="000767AE">
        <w:rPr>
          <w:rFonts w:ascii="Arial" w:hAnsi="Arial" w:cs="Arial"/>
          <w:sz w:val="24"/>
          <w:szCs w:val="24"/>
        </w:rPr>
        <w:t>antimicrobial</w:t>
      </w:r>
      <w:r w:rsidRPr="000767AE">
        <w:rPr>
          <w:rFonts w:ascii="Arial" w:hAnsi="Arial" w:cs="Arial"/>
          <w:sz w:val="24"/>
          <w:szCs w:val="24"/>
          <w:lang w:val="en-US"/>
        </w:rPr>
        <w:t>s</w:t>
      </w:r>
      <w:r w:rsidR="00DC1DA7" w:rsidRPr="000767AE">
        <w:rPr>
          <w:rFonts w:ascii="Arial" w:hAnsi="Arial" w:cs="Arial"/>
          <w:sz w:val="24"/>
          <w:szCs w:val="24"/>
          <w:lang w:val="en-US"/>
        </w:rPr>
        <w:t>,</w:t>
      </w:r>
      <w:r w:rsidR="000F0656"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"10.1016/S1473-3099(09)70105-7", "ISSN" : "1474-4457", "PMID" : "19467475", "abstract" : "The persistence or loss of acquired antimicrobial-drug resistance in bacterial populations previously exposed to drug-selective pressure depends on several biological processes. We review mechanisms promoting or preventing the loss of resistance, including rates of reacquisition, effects of resistance traits on bacterial fitness, linked selection, and segregational stability of resistance determinants. As a case study, we discuss the persistence of glycopeptide-resistant enterococci in Norwegian and Danish poultry farms 12 years after the ban of the animal growth promoter avoparcin. We conclude that complete eradication of antimicrobial resistance in bacterial populations following relaxed drug-selective pressures is not straightforward. Resistance determinants may persist at low, but detectable, levels for many years in the absence of the corresponding drugs.", "author" : [ { "dropping-particle" : "", "family" : "Johnsen", "given" : "P\u00e5l J", "non-dropping-particle" : "", "parse-names" : false, "suffix" : "" }, { "dropping-particle" : "", "family" : "Townsend", "given" : "Jeffrey P", "non-dropping-particle" : "", "parse-names" : false, "suffix" : "" }, { "dropping-particle" : "", "family" : "B\u00f8hn", "given" : "Thomas", "non-dropping-particle" : "", "parse-names" : false, "suffix" : "" }, { "dropping-particle" : "", "family" : "Simonsen", "given" : "Gunnar S", "non-dropping-particle" : "", "parse-names" : false, "suffix" : "" }, { "dropping-particle" : "", "family" : "Sundsfjord", "given" : "Arnfinn", "non-dropping-particle" : "", "parse-names" : false, "suffix" : "" }, { "dropping-particle" : "", "family" : "Nielsen", "given" : "Kaare M", "non-dropping-particle" : "", "parse-names" : false, "suffix" : "" } ], "container-title" : "Lancet Infectious Diseases", "id" : "ITEM-1", "issue" : "6", "issued" : { "date-parts" : [ [ "2009", "6" ] ] }, "page" : "357-64", "title" : "Factors affecting the reversal of antimicrobial-drug resistance.", "type" : "article-journal", "volume" : "9" }, "uris" : [ "http://www.mendeley.com/documents/?uuid=e76033e2-21ba-439d-9bc5-0d0458eceaa2" ] } ], "mendeley" : { "formattedCitation" : "&lt;sup&gt;85&lt;/sup&gt;", "plainTextFormattedCitation" : "85", "previouslyFormattedCitation" : "&lt;sup&gt;86&lt;/sup&gt;" }, "properties" : { "noteIndex" : 0 }, "schema" : "https://github.com/citation-style-language/schema/raw/master/csl-citation.json" }</w:instrText>
      </w:r>
      <w:r w:rsidR="000F0656"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85</w:t>
      </w:r>
      <w:r w:rsidR="000F0656" w:rsidRPr="000767AE">
        <w:rPr>
          <w:rFonts w:ascii="Arial" w:hAnsi="Arial" w:cs="Arial"/>
          <w:sz w:val="24"/>
          <w:szCs w:val="24"/>
          <w:lang w:val="en-US"/>
        </w:rPr>
        <w:fldChar w:fldCharType="end"/>
      </w:r>
      <w:r w:rsidRPr="000767AE">
        <w:rPr>
          <w:rFonts w:ascii="Arial" w:hAnsi="Arial" w:cs="Arial"/>
          <w:sz w:val="24"/>
          <w:szCs w:val="24"/>
          <w:lang w:val="en-US"/>
        </w:rPr>
        <w:t xml:space="preserve"> </w:t>
      </w:r>
      <w:r w:rsidR="00DC1DA7" w:rsidRPr="000767AE">
        <w:rPr>
          <w:rFonts w:ascii="Arial" w:hAnsi="Arial" w:cs="Arial"/>
          <w:sz w:val="24"/>
          <w:szCs w:val="24"/>
          <w:lang w:val="en-US"/>
        </w:rPr>
        <w:t xml:space="preserve">and in turn </w:t>
      </w:r>
      <w:r w:rsidR="000D4332" w:rsidRPr="000767AE">
        <w:rPr>
          <w:rFonts w:ascii="Arial" w:hAnsi="Arial" w:cs="Arial"/>
          <w:sz w:val="24"/>
          <w:szCs w:val="24"/>
          <w:lang w:val="en-US"/>
        </w:rPr>
        <w:t>AMR</w:t>
      </w:r>
      <w:r w:rsidRPr="000767AE">
        <w:rPr>
          <w:rFonts w:ascii="Arial" w:hAnsi="Arial" w:cs="Arial"/>
          <w:sz w:val="24"/>
          <w:szCs w:val="24"/>
          <w:lang w:val="en-US"/>
        </w:rPr>
        <w:t xml:space="preserve"> </w:t>
      </w:r>
      <w:r w:rsidR="00DC1DA7" w:rsidRPr="000767AE">
        <w:rPr>
          <w:rFonts w:ascii="Arial" w:hAnsi="Arial" w:cs="Arial"/>
          <w:sz w:val="24"/>
          <w:szCs w:val="24"/>
          <w:lang w:val="en-US"/>
        </w:rPr>
        <w:t xml:space="preserve">microbes </w:t>
      </w:r>
      <w:r w:rsidRPr="000767AE">
        <w:rPr>
          <w:rFonts w:ascii="Arial" w:hAnsi="Arial" w:cs="Arial"/>
          <w:sz w:val="24"/>
          <w:szCs w:val="24"/>
          <w:lang w:val="en-US"/>
        </w:rPr>
        <w:t xml:space="preserve">can persist for many years on </w:t>
      </w:r>
      <w:r w:rsidR="00DC1DA7" w:rsidRPr="000767AE">
        <w:rPr>
          <w:rFonts w:ascii="Arial" w:hAnsi="Arial" w:cs="Arial"/>
          <w:sz w:val="24"/>
          <w:szCs w:val="24"/>
          <w:lang w:val="en-US"/>
        </w:rPr>
        <w:t xml:space="preserve">human and animal </w:t>
      </w:r>
      <w:r w:rsidRPr="000767AE">
        <w:rPr>
          <w:rFonts w:ascii="Arial" w:hAnsi="Arial" w:cs="Arial"/>
          <w:sz w:val="24"/>
          <w:szCs w:val="24"/>
          <w:lang w:val="en-US"/>
        </w:rPr>
        <w:t xml:space="preserve">skin and </w:t>
      </w:r>
      <w:r w:rsidR="00DC1DA7" w:rsidRPr="000767AE">
        <w:rPr>
          <w:rFonts w:ascii="Arial" w:hAnsi="Arial" w:cs="Arial"/>
          <w:sz w:val="24"/>
          <w:szCs w:val="24"/>
          <w:lang w:val="en-US"/>
        </w:rPr>
        <w:t>as</w:t>
      </w:r>
      <w:r w:rsidRPr="000767AE">
        <w:rPr>
          <w:rFonts w:ascii="Arial" w:hAnsi="Arial" w:cs="Arial"/>
          <w:sz w:val="24"/>
          <w:szCs w:val="24"/>
          <w:lang w:val="en-US"/>
        </w:rPr>
        <w:t xml:space="preserve"> f</w:t>
      </w:r>
      <w:r w:rsidR="002A6EDB" w:rsidRPr="000767AE">
        <w:rPr>
          <w:rFonts w:ascii="Arial" w:hAnsi="Arial" w:cs="Arial"/>
          <w:sz w:val="24"/>
          <w:szCs w:val="24"/>
          <w:lang w:val="en-US"/>
        </w:rPr>
        <w:t>a</w:t>
      </w:r>
      <w:r w:rsidRPr="000767AE">
        <w:rPr>
          <w:rFonts w:ascii="Arial" w:hAnsi="Arial" w:cs="Arial"/>
          <w:sz w:val="24"/>
          <w:szCs w:val="24"/>
          <w:lang w:val="en-US"/>
        </w:rPr>
        <w:t>ecal flora without any further exposure or selection pressure.</w:t>
      </w:r>
      <w:r w:rsidR="000F0656"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"author" : [ { "dropping-particle" : "", "family" : "Sjolund", "given" : "Maria", "non-dropping-particle" : "", "parse-names" : false, "suffix" : "" }, { "dropping-particle" : "", "family" : "Wreiber", "given" : "Karin", "non-dropping-particle" : "", "parse-names" : false, "suffix" : "" }, { "dropping-particle" : "", "family" : "Andersson", "given" : "Dan I", "non-dropping-particle" : "", "parse-names" : false, "suffix" : "" }, { "dropping-particle" : "", "family" : "Blaser", "given" : "Martin J", "non-dropping-particle" : "", "parse-names" : false, "suffix" : "" }, { "dropping-particle" : "", "family" : "Engstrand", "given" : "Lars", "non-dropping-particle" : "", "parse-names" : false, "suffix" : "" } ], "container-title" : "Annuls of INternal Medicine", "id" : "ITEM-1", "issue" : "6", "issued" : { "date-parts" : [ [ "2014" ] ] }, "page" : "483-488", "title" : "Long-Term Persistence of Resistant Enterococcus Species after Antibiotics To Eradicate Helicobacter pylori", "type" : "article-journal", "volume" : "139" }, "uris" : [ "http://www.mendeley.com/documents/?uuid=a59bb099-24ab-4534-969f-c8265ff4665d" ] } ], "mendeley" : { "formattedCitation" : "&lt;sup&gt;86&lt;/sup&gt;", "plainTextFormattedCitation" : "86", "previouslyFormattedCitation" : "&lt;sup&gt;87&lt;/sup&gt;" }, "properties" : { "noteIndex" : 0 }, "schema" : "https://github.com/citation-style-language/schema/raw/master/csl-citation.json" }</w:instrText>
      </w:r>
      <w:r w:rsidR="000F0656"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86</w:t>
      </w:r>
      <w:r w:rsidR="000F0656" w:rsidRPr="000767AE">
        <w:rPr>
          <w:rFonts w:ascii="Arial" w:hAnsi="Arial" w:cs="Arial"/>
          <w:sz w:val="24"/>
          <w:szCs w:val="24"/>
          <w:lang w:val="en-US"/>
        </w:rPr>
        <w:fldChar w:fldCharType="end"/>
      </w:r>
      <w:r w:rsidRPr="000767AE">
        <w:rPr>
          <w:rFonts w:ascii="Arial" w:hAnsi="Arial" w:cs="Arial"/>
          <w:sz w:val="24"/>
          <w:szCs w:val="24"/>
          <w:lang w:val="en-US"/>
        </w:rPr>
        <w:t xml:space="preserve"> </w:t>
      </w:r>
      <w:proofErr w:type="gramStart"/>
      <w:r w:rsidRPr="000767AE">
        <w:rPr>
          <w:rFonts w:ascii="Arial" w:hAnsi="Arial" w:cs="Arial"/>
          <w:sz w:val="24"/>
          <w:szCs w:val="24"/>
          <w:lang w:val="en-US"/>
        </w:rPr>
        <w:t>The</w:t>
      </w:r>
      <w:proofErr w:type="gramEnd"/>
      <w:r w:rsidRPr="000767AE">
        <w:rPr>
          <w:rFonts w:ascii="Arial" w:hAnsi="Arial" w:cs="Arial"/>
          <w:sz w:val="24"/>
          <w:szCs w:val="24"/>
          <w:lang w:val="en-US"/>
        </w:rPr>
        <w:t xml:space="preserve"> lack of a clear correlation between reduced use of </w:t>
      </w:r>
      <w:r w:rsidRPr="000767AE">
        <w:rPr>
          <w:rFonts w:ascii="Arial" w:hAnsi="Arial" w:cs="Arial"/>
          <w:sz w:val="24"/>
          <w:szCs w:val="24"/>
        </w:rPr>
        <w:t>antimicrobial</w:t>
      </w:r>
      <w:r w:rsidRPr="000767AE">
        <w:rPr>
          <w:rFonts w:ascii="Arial" w:hAnsi="Arial" w:cs="Arial"/>
          <w:sz w:val="24"/>
          <w:szCs w:val="24"/>
          <w:lang w:val="en-US"/>
        </w:rPr>
        <w:t xml:space="preserve">s and decreased </w:t>
      </w:r>
      <w:r w:rsidR="000D4332" w:rsidRPr="000767AE">
        <w:rPr>
          <w:rFonts w:ascii="Arial" w:hAnsi="Arial" w:cs="Arial"/>
          <w:sz w:val="24"/>
          <w:szCs w:val="24"/>
          <w:lang w:val="en-US"/>
        </w:rPr>
        <w:t>AMR</w:t>
      </w:r>
      <w:r w:rsidRPr="000767AE">
        <w:rPr>
          <w:rFonts w:ascii="Arial" w:hAnsi="Arial" w:cs="Arial"/>
          <w:sz w:val="24"/>
          <w:szCs w:val="24"/>
          <w:lang w:val="en-US"/>
        </w:rPr>
        <w:t xml:space="preserve"> can be explained by the interplay of several factors. </w:t>
      </w:r>
      <w:r w:rsidR="007B563B" w:rsidRPr="000767AE">
        <w:rPr>
          <w:rFonts w:ascii="Arial" w:hAnsi="Arial" w:cs="Arial"/>
          <w:sz w:val="24"/>
          <w:szCs w:val="24"/>
          <w:lang w:val="en-US"/>
        </w:rPr>
        <w:t>One such is that of context</w:t>
      </w:r>
      <w:r w:rsidR="000F0656" w:rsidRPr="000767AE">
        <w:rPr>
          <w:rFonts w:ascii="Arial" w:hAnsi="Arial" w:cs="Arial"/>
          <w:sz w:val="24"/>
          <w:szCs w:val="24"/>
          <w:lang w:val="en-US"/>
        </w:rPr>
        <w:t xml:space="preserve">, such as whether the system is open (i.e. continuous in- and out-flow, where the incoming population has a </w:t>
      </w:r>
      <w:r w:rsidR="0086741D" w:rsidRPr="000767AE">
        <w:rPr>
          <w:rFonts w:ascii="Arial" w:hAnsi="Arial" w:cs="Arial"/>
          <w:sz w:val="24"/>
          <w:szCs w:val="24"/>
          <w:lang w:val="en-US"/>
        </w:rPr>
        <w:t xml:space="preserve">differing </w:t>
      </w:r>
      <w:r w:rsidR="000F0656" w:rsidRPr="000767AE">
        <w:rPr>
          <w:rFonts w:ascii="Arial" w:hAnsi="Arial" w:cs="Arial"/>
          <w:sz w:val="24"/>
          <w:szCs w:val="24"/>
          <w:lang w:val="en-US"/>
        </w:rPr>
        <w:t>frequency of</w:t>
      </w:r>
      <w:r w:rsidR="00DC1DA7" w:rsidRPr="000767AE">
        <w:rPr>
          <w:rFonts w:ascii="Arial" w:hAnsi="Arial" w:cs="Arial"/>
          <w:sz w:val="24"/>
          <w:szCs w:val="24"/>
          <w:lang w:val="en-US"/>
        </w:rPr>
        <w:t xml:space="preserve"> AMR</w:t>
      </w:r>
      <w:r w:rsidR="000F0656" w:rsidRPr="000767AE">
        <w:rPr>
          <w:rFonts w:ascii="Arial" w:hAnsi="Arial" w:cs="Arial"/>
          <w:sz w:val="24"/>
          <w:szCs w:val="24"/>
          <w:lang w:val="en-US"/>
        </w:rPr>
        <w:t xml:space="preserve">) or closed (i.e. a community where migration is limited). </w:t>
      </w:r>
      <w:r w:rsidR="007B563B" w:rsidRPr="000767AE">
        <w:rPr>
          <w:rFonts w:ascii="Arial" w:hAnsi="Arial" w:cs="Arial"/>
          <w:sz w:val="24"/>
          <w:szCs w:val="24"/>
          <w:lang w:val="en-US"/>
        </w:rPr>
        <w:t xml:space="preserve">At the level of the </w:t>
      </w:r>
      <w:r w:rsidR="00DC1DA7" w:rsidRPr="000767AE">
        <w:rPr>
          <w:rFonts w:ascii="Arial" w:hAnsi="Arial" w:cs="Arial"/>
          <w:sz w:val="24"/>
          <w:szCs w:val="24"/>
          <w:lang w:val="en-US"/>
        </w:rPr>
        <w:t>microbe</w:t>
      </w:r>
      <w:r w:rsidR="007B563B" w:rsidRPr="000767AE">
        <w:rPr>
          <w:rFonts w:ascii="Arial" w:hAnsi="Arial" w:cs="Arial"/>
          <w:sz w:val="24"/>
          <w:szCs w:val="24"/>
          <w:lang w:val="en-US"/>
        </w:rPr>
        <w:t xml:space="preserve">, other factors </w:t>
      </w:r>
      <w:r w:rsidR="000F0656" w:rsidRPr="000767AE">
        <w:rPr>
          <w:rFonts w:ascii="Arial" w:hAnsi="Arial" w:cs="Arial"/>
          <w:sz w:val="24"/>
          <w:szCs w:val="24"/>
          <w:lang w:val="en-US"/>
        </w:rPr>
        <w:t>include</w:t>
      </w:r>
      <w:r w:rsidR="007B563B" w:rsidRPr="000767AE">
        <w:rPr>
          <w:rFonts w:ascii="Arial" w:hAnsi="Arial" w:cs="Arial"/>
          <w:sz w:val="24"/>
          <w:szCs w:val="24"/>
          <w:lang w:val="en-US"/>
        </w:rPr>
        <w:t>;</w:t>
      </w:r>
      <w:r w:rsidR="000F0656" w:rsidRPr="000767AE">
        <w:rPr>
          <w:rFonts w:ascii="Arial" w:hAnsi="Arial" w:cs="Arial"/>
          <w:sz w:val="24"/>
          <w:szCs w:val="24"/>
          <w:lang w:val="en-US"/>
        </w:rPr>
        <w:t xml:space="preserve"> </w:t>
      </w:r>
      <w:r w:rsidR="007B563B" w:rsidRPr="000767AE">
        <w:rPr>
          <w:rFonts w:ascii="Arial" w:hAnsi="Arial" w:cs="Arial"/>
          <w:sz w:val="24"/>
          <w:szCs w:val="24"/>
          <w:lang w:val="en-US"/>
        </w:rPr>
        <w:t xml:space="preserve">the nature of the </w:t>
      </w:r>
      <w:r w:rsidRPr="000767AE">
        <w:rPr>
          <w:rFonts w:ascii="Arial" w:hAnsi="Arial" w:cs="Arial"/>
          <w:sz w:val="24"/>
          <w:szCs w:val="24"/>
          <w:lang w:val="en-US"/>
        </w:rPr>
        <w:t xml:space="preserve">resistance mechanisms </w:t>
      </w:r>
      <w:r w:rsidR="007B563B" w:rsidRPr="000767AE">
        <w:rPr>
          <w:rFonts w:ascii="Arial" w:hAnsi="Arial" w:cs="Arial"/>
          <w:sz w:val="24"/>
          <w:szCs w:val="24"/>
          <w:lang w:val="en-US"/>
        </w:rPr>
        <w:t xml:space="preserve">(and level of </w:t>
      </w:r>
      <w:r w:rsidRPr="000767AE">
        <w:rPr>
          <w:rFonts w:ascii="Arial" w:hAnsi="Arial" w:cs="Arial"/>
          <w:sz w:val="24"/>
          <w:szCs w:val="24"/>
          <w:lang w:val="en-US"/>
        </w:rPr>
        <w:t>fitness cost</w:t>
      </w:r>
      <w:r w:rsidR="007B563B" w:rsidRPr="000767AE">
        <w:rPr>
          <w:rFonts w:ascii="Arial" w:hAnsi="Arial" w:cs="Arial"/>
          <w:sz w:val="24"/>
          <w:szCs w:val="24"/>
          <w:lang w:val="en-US"/>
        </w:rPr>
        <w:t>)</w:t>
      </w:r>
      <w:r w:rsidRPr="000767AE">
        <w:rPr>
          <w:rFonts w:ascii="Arial" w:hAnsi="Arial" w:cs="Arial"/>
          <w:sz w:val="24"/>
          <w:szCs w:val="24"/>
          <w:lang w:val="en-US"/>
        </w:rPr>
        <w:t xml:space="preserve">, </w:t>
      </w:r>
      <w:r w:rsidR="007B563B" w:rsidRPr="000767AE">
        <w:rPr>
          <w:rFonts w:ascii="Arial" w:hAnsi="Arial" w:cs="Arial"/>
          <w:sz w:val="24"/>
          <w:szCs w:val="24"/>
          <w:lang w:val="en-US"/>
        </w:rPr>
        <w:t xml:space="preserve">the propensity for </w:t>
      </w:r>
      <w:r w:rsidRPr="000767AE">
        <w:rPr>
          <w:rFonts w:ascii="Arial" w:hAnsi="Arial" w:cs="Arial"/>
          <w:sz w:val="24"/>
          <w:szCs w:val="24"/>
          <w:lang w:val="en-US"/>
        </w:rPr>
        <w:t>horizontal gene transfer and transmissible elements</w:t>
      </w:r>
      <w:r w:rsidR="007B563B" w:rsidRPr="000767AE">
        <w:rPr>
          <w:rFonts w:ascii="Arial" w:hAnsi="Arial" w:cs="Arial"/>
          <w:sz w:val="24"/>
          <w:szCs w:val="24"/>
          <w:lang w:val="en-US"/>
        </w:rPr>
        <w:t>,</w:t>
      </w:r>
      <w:r w:rsidRPr="000767AE">
        <w:rPr>
          <w:rFonts w:ascii="Arial" w:hAnsi="Arial" w:cs="Arial"/>
          <w:sz w:val="24"/>
          <w:szCs w:val="24"/>
          <w:lang w:val="en-US"/>
        </w:rPr>
        <w:t xml:space="preserve"> as well as cross- and co-selection mechanisms</w:t>
      </w:r>
      <w:r w:rsidR="00905303" w:rsidRPr="00905303">
        <w:rPr>
          <w:rFonts w:ascii="Arial" w:hAnsi="Arial" w:cs="Arial"/>
          <w:sz w:val="24"/>
          <w:szCs w:val="24"/>
          <w:highlight w:val="yellow"/>
          <w:lang w:val="en-US"/>
        </w:rPr>
        <w:t>.</w:t>
      </w:r>
      <w:r w:rsidR="00905303" w:rsidRPr="00905303">
        <w:rPr>
          <w:rFonts w:ascii="Arial" w:hAnsi="Arial" w:cs="Arial"/>
          <w:sz w:val="24"/>
          <w:szCs w:val="24"/>
          <w:highlight w:val="yellow"/>
          <w:lang w:val="en-US"/>
        </w:rPr>
        <w:fldChar w:fldCharType="begin" w:fldLock="1"/>
      </w:r>
      <w:r w:rsidR="009E0BAE">
        <w:rPr>
          <w:rFonts w:ascii="Arial" w:hAnsi="Arial" w:cs="Arial"/>
          <w:sz w:val="24"/>
          <w:szCs w:val="24"/>
          <w:highlight w:val="yellow"/>
          <w:lang w:val="en-US"/>
        </w:rPr>
        <w:instrText>ADDIN CSL_CITATION { "citationItems" : [ { "id" : "ITEM-1", "itemData" : { "DOI" : "10.1371/journal.ppat.1000541", "ISSN" : "1553-7374", "PMID" : "19662169", "abstract" : "Fluoroquinolones are antibacterial drugs that inhibit DNA Gyrase and Topoisomerase IV. These essential enzymes facilitate chromosome replication and RNA transcription by regulating chromosome supercoiling. High-level resistance to fluoroquinolones in E. coli requires the accumulation of multiple mutations, including those that alter target genes and genes regulating drug efflux. Previous studies have shown some drug-resistance mutations reduce bacterial fitness, leading to the selection of fitness-compensatory mutations. The impact of fluoroquinolone-resistance on bacterial fitness was analyzed in constructed isogenic strains carrying up to 5 resistance mutations. Some mutations significantly decreased bacterial fitness both in vitro and in vivo. We identified low-fitness triple-mutants where the acquisition of a fourth resistance mutation significantly increased fitness in vitro and in vivo while at the same time dramatically decreasing drug susceptibility. The largest effect occurred with the addition of a parC mutation (Topoisomerase IV) to a low-fitness strain carrying resistance mutations in gyrA (DNA Gyrase) and marR (drug efflux regulation). Increased fitness was accompanied by a significant change in the level of gyrA promoter activity as measured in an assay of DNA supercoiling. In selection and competition experiments made in the absence of drug, parC mutants that improved fitness and reduced susceptibility were selected. These data suggest that natural selection for improved growth in bacteria with low-level resistance to fluoroquinolones could in some cases select for further reductions in drug susceptibility. Thus, increased resistance to fluoroquinolones could be selected even in the absence of further exposure to the drug.", "author" : [ { "dropping-particle" : "", "family" : "Marcusson", "given" : "Linda L", "non-dropping-particle" : "", "parse-names" : false, "suffix" : "" }, { "dropping-particle" : "", "family" : "Frimodt-M\u00f8ller", "given" : "Niels", "non-dropping-particle" : "", "parse-names" : false, "suffix" : "" }, { "dropping-particle" : "", "family" : "Hughes", "given" : "Diarmaid", "non-dropping-particle" : "", "parse-names" : false, "suffix" : "" } ], "container-title" : "PLoS Pathogens", "id" : "ITEM-1", "issue" : "8", "issued" : { "date-parts" : [ [ "2009", "8" ] ] }, "page" : "e1000541", "title" : "Interplay in the selection of fluoroquinolone resistance and bacterial fitness.", "type" : "article-journal", "volume" : "5" }, "uris" : [ "http://www.mendeley.com/documents/?uuid=a17e9f5c-d97b-4680-af7d-d0ef9d9f584d" ] } ], "mendeley" : { "formattedCitation" : "&lt;sup&gt;77&lt;/sup&gt;", "plainTextFormattedCitation" : "77", "previouslyFormattedCitation" : "&lt;sup&gt;78&lt;/sup&gt;" }, "properties" : { "noteIndex" : 0 }, "schema" : "https://github.com/citation-style-language/schema/raw/master/csl-citation.json" }</w:instrText>
      </w:r>
      <w:r w:rsidR="00905303" w:rsidRPr="00905303">
        <w:rPr>
          <w:rFonts w:ascii="Arial" w:hAnsi="Arial" w:cs="Arial"/>
          <w:sz w:val="24"/>
          <w:szCs w:val="24"/>
          <w:highlight w:val="yellow"/>
          <w:lang w:val="en-US"/>
        </w:rPr>
        <w:fldChar w:fldCharType="separate"/>
      </w:r>
      <w:r w:rsidR="009E0BAE" w:rsidRPr="009E0BAE">
        <w:rPr>
          <w:rFonts w:ascii="Arial" w:hAnsi="Arial" w:cs="Arial"/>
          <w:noProof/>
          <w:sz w:val="24"/>
          <w:szCs w:val="24"/>
          <w:highlight w:val="yellow"/>
          <w:vertAlign w:val="superscript"/>
          <w:lang w:val="en-US"/>
        </w:rPr>
        <w:t>77</w:t>
      </w:r>
      <w:r w:rsidR="00905303" w:rsidRPr="00905303">
        <w:rPr>
          <w:rFonts w:ascii="Arial" w:hAnsi="Arial" w:cs="Arial"/>
          <w:sz w:val="24"/>
          <w:szCs w:val="24"/>
          <w:highlight w:val="yellow"/>
          <w:lang w:val="en-US"/>
        </w:rPr>
        <w:fldChar w:fldCharType="end"/>
      </w:r>
      <w:r w:rsidRPr="000767AE">
        <w:rPr>
          <w:rFonts w:ascii="Arial" w:hAnsi="Arial"/>
          <w:sz w:val="24"/>
          <w:lang w:val="en-US"/>
        </w:rPr>
        <w:t xml:space="preserve"> The latter is highly pertinent, as many bacteria are multidrug resistant due to the presence of multiple </w:t>
      </w:r>
      <w:r w:rsidR="00DC1DA7" w:rsidRPr="000767AE">
        <w:rPr>
          <w:rFonts w:ascii="Arial" w:hAnsi="Arial" w:cs="Arial"/>
          <w:sz w:val="24"/>
          <w:szCs w:val="24"/>
        </w:rPr>
        <w:t>AMR</w:t>
      </w:r>
      <w:r w:rsidRPr="000767AE">
        <w:rPr>
          <w:rFonts w:ascii="Arial" w:hAnsi="Arial"/>
          <w:sz w:val="24"/>
          <w:lang w:val="en-US"/>
        </w:rPr>
        <w:t xml:space="preserve"> genes; therefore only by reducing use of all drugs to which resistance is encoded will the prevalence of that multi</w:t>
      </w:r>
      <w:r w:rsidR="00DC1DA7" w:rsidRPr="000767AE">
        <w:rPr>
          <w:rFonts w:ascii="Arial" w:hAnsi="Arial"/>
          <w:sz w:val="24"/>
          <w:lang w:val="en-US"/>
        </w:rPr>
        <w:t>-</w:t>
      </w:r>
      <w:r w:rsidRPr="000767AE">
        <w:rPr>
          <w:rFonts w:ascii="Arial" w:hAnsi="Arial"/>
          <w:sz w:val="24"/>
          <w:lang w:val="en-US"/>
        </w:rPr>
        <w:t xml:space="preserve">drug resistant </w:t>
      </w:r>
      <w:r w:rsidR="00DC1DA7" w:rsidRPr="000767AE">
        <w:rPr>
          <w:rFonts w:ascii="Arial" w:hAnsi="Arial"/>
          <w:sz w:val="24"/>
          <w:lang w:val="en-US"/>
        </w:rPr>
        <w:t>microbe</w:t>
      </w:r>
      <w:r w:rsidRPr="000767AE">
        <w:rPr>
          <w:rFonts w:ascii="Arial" w:hAnsi="Arial"/>
          <w:sz w:val="24"/>
          <w:lang w:val="en-US"/>
        </w:rPr>
        <w:t xml:space="preserve"> </w:t>
      </w:r>
      <w:r w:rsidR="007B563B" w:rsidRPr="000767AE">
        <w:rPr>
          <w:rFonts w:ascii="Arial" w:hAnsi="Arial"/>
          <w:sz w:val="24"/>
          <w:lang w:val="en-US"/>
        </w:rPr>
        <w:t xml:space="preserve">fall </w:t>
      </w:r>
      <w:r w:rsidRPr="000767AE">
        <w:rPr>
          <w:rFonts w:ascii="Arial" w:hAnsi="Arial"/>
          <w:sz w:val="24"/>
          <w:lang w:val="en-US"/>
        </w:rPr>
        <w:t>– and only then if this is beneficial to the bacterium.</w:t>
      </w:r>
    </w:p>
    <w:p w14:paraId="068A6AA0" w14:textId="77777777" w:rsidR="00A053CE" w:rsidRPr="000767AE" w:rsidRDefault="00A053CE" w:rsidP="00A053CE">
      <w:pPr>
        <w:rPr>
          <w:rFonts w:ascii="Arial" w:hAnsi="Arial" w:cs="Arial"/>
          <w:sz w:val="24"/>
          <w:szCs w:val="24"/>
        </w:rPr>
      </w:pPr>
    </w:p>
    <w:p w14:paraId="07292078" w14:textId="77777777" w:rsidR="002B017A" w:rsidRPr="000767AE" w:rsidRDefault="00255705" w:rsidP="002B017A">
      <w:pPr>
        <w:pStyle w:val="Heading2"/>
        <w:spacing w:before="0"/>
        <w:rPr>
          <w:rFonts w:ascii="Arial" w:hAnsi="Arial"/>
          <w:b/>
          <w:sz w:val="24"/>
        </w:rPr>
      </w:pPr>
      <w:proofErr w:type="gramStart"/>
      <w:r w:rsidRPr="000767AE">
        <w:rPr>
          <w:rFonts w:ascii="Arial" w:hAnsi="Arial"/>
          <w:b/>
          <w:sz w:val="24"/>
        </w:rPr>
        <w:lastRenderedPageBreak/>
        <w:t>Approaches to optimising antimicrobial use.</w:t>
      </w:r>
      <w:proofErr w:type="gramEnd"/>
    </w:p>
    <w:p w14:paraId="4FCF52BE" w14:textId="77777777" w:rsidR="00255705" w:rsidRPr="000767AE" w:rsidRDefault="00255705" w:rsidP="00255705"/>
    <w:p w14:paraId="5FA610DF" w14:textId="77777777" w:rsidR="00A053CE" w:rsidRPr="000767AE" w:rsidRDefault="002B017A" w:rsidP="00A053CE">
      <w:pPr>
        <w:pStyle w:val="Heading3"/>
        <w:spacing w:before="0"/>
        <w:rPr>
          <w:rFonts w:ascii="Arial" w:hAnsi="Arial"/>
          <w:i/>
          <w:color w:val="243F60"/>
          <w:lang w:eastAsia="en-GB"/>
        </w:rPr>
      </w:pPr>
      <w:r w:rsidRPr="000767AE">
        <w:rPr>
          <w:rFonts w:ascii="Arial" w:hAnsi="Arial"/>
          <w:i/>
          <w:lang w:eastAsia="en-GB"/>
        </w:rPr>
        <w:t>1</w:t>
      </w:r>
      <w:r w:rsidR="00A053CE" w:rsidRPr="000767AE">
        <w:rPr>
          <w:rFonts w:ascii="Arial" w:hAnsi="Arial"/>
          <w:i/>
          <w:lang w:eastAsia="en-GB"/>
        </w:rPr>
        <w:t>) How should antimicrobials be used to preserve effectiveness/delay resistance in humans?</w:t>
      </w:r>
    </w:p>
    <w:p w14:paraId="116D537A" w14:textId="057EDA10" w:rsidR="00A053CE" w:rsidRPr="000767AE" w:rsidRDefault="00A053CE" w:rsidP="00A053CE">
      <w:pPr>
        <w:rPr>
          <w:rFonts w:ascii="Arial" w:hAnsi="Arial" w:cs="Arial"/>
          <w:sz w:val="24"/>
          <w:szCs w:val="24"/>
          <w:lang w:val="en-US"/>
        </w:rPr>
      </w:pPr>
      <w:r w:rsidRPr="000767AE">
        <w:rPr>
          <w:rFonts w:ascii="Arial" w:hAnsi="Arial" w:cs="Arial"/>
          <w:sz w:val="24"/>
          <w:szCs w:val="24"/>
          <w:lang w:val="en-US"/>
        </w:rPr>
        <w:t xml:space="preserve">The literature on </w:t>
      </w:r>
      <w:r w:rsidR="00DC1DA7" w:rsidRPr="000767AE">
        <w:rPr>
          <w:rFonts w:ascii="Arial" w:hAnsi="Arial" w:cs="Arial"/>
          <w:sz w:val="24"/>
          <w:szCs w:val="24"/>
          <w:lang w:val="en-US"/>
        </w:rPr>
        <w:t xml:space="preserve">AMR </w:t>
      </w:r>
      <w:r w:rsidR="00B92EED" w:rsidRPr="000767AE">
        <w:rPr>
          <w:rFonts w:ascii="Arial" w:hAnsi="Arial" w:cs="Arial"/>
          <w:sz w:val="24"/>
          <w:szCs w:val="24"/>
          <w:lang w:val="en-US"/>
        </w:rPr>
        <w:t xml:space="preserve">across </w:t>
      </w:r>
      <w:r w:rsidRPr="000767AE">
        <w:rPr>
          <w:rFonts w:ascii="Arial" w:hAnsi="Arial" w:cs="Arial"/>
          <w:sz w:val="24"/>
          <w:szCs w:val="24"/>
          <w:lang w:val="en-US"/>
        </w:rPr>
        <w:t xml:space="preserve">many different diseases converges on a remarkably consistent set of recommendations </w:t>
      </w:r>
      <w:r w:rsidR="00DC1DA7" w:rsidRPr="000767AE">
        <w:rPr>
          <w:rFonts w:ascii="Arial" w:hAnsi="Arial" w:cs="Arial"/>
          <w:sz w:val="24"/>
          <w:szCs w:val="24"/>
          <w:lang w:val="en-US"/>
        </w:rPr>
        <w:t xml:space="preserve">for </w:t>
      </w:r>
      <w:r w:rsidRPr="000767AE">
        <w:rPr>
          <w:rFonts w:ascii="Arial" w:hAnsi="Arial" w:cs="Arial"/>
          <w:sz w:val="24"/>
          <w:szCs w:val="24"/>
          <w:lang w:val="en-US"/>
        </w:rPr>
        <w:t>prevent</w:t>
      </w:r>
      <w:r w:rsidR="00DC1DA7" w:rsidRPr="000767AE">
        <w:rPr>
          <w:rFonts w:ascii="Arial" w:hAnsi="Arial" w:cs="Arial"/>
          <w:sz w:val="24"/>
          <w:szCs w:val="24"/>
          <w:lang w:val="en-US"/>
        </w:rPr>
        <w:t>ion</w:t>
      </w:r>
      <w:r w:rsidRPr="000767AE">
        <w:rPr>
          <w:rFonts w:ascii="Arial" w:hAnsi="Arial" w:cs="Arial"/>
          <w:sz w:val="24"/>
          <w:szCs w:val="24"/>
          <w:lang w:val="en-US"/>
        </w:rPr>
        <w:t xml:space="preserve"> and contain</w:t>
      </w:r>
      <w:r w:rsidR="00DC1DA7" w:rsidRPr="000767AE">
        <w:rPr>
          <w:rFonts w:ascii="Arial" w:hAnsi="Arial" w:cs="Arial"/>
          <w:sz w:val="24"/>
          <w:szCs w:val="24"/>
          <w:lang w:val="en-US"/>
        </w:rPr>
        <w:t>ment</w:t>
      </w:r>
      <w:r w:rsidR="00535D1C" w:rsidRPr="00E72A55">
        <w:rPr>
          <w:rFonts w:ascii="Arial" w:hAnsi="Arial" w:cs="Arial"/>
          <w:sz w:val="24"/>
          <w:szCs w:val="24"/>
          <w:highlight w:val="yellow"/>
          <w:lang w:val="en-US"/>
        </w:rPr>
        <w:t>.</w:t>
      </w:r>
      <w:r w:rsidR="00535D1C" w:rsidRPr="00E72A55">
        <w:rPr>
          <w:rFonts w:ascii="Arial" w:hAnsi="Arial" w:cs="Arial"/>
          <w:sz w:val="24"/>
          <w:szCs w:val="24"/>
          <w:highlight w:val="yellow"/>
          <w:lang w:val="en-US"/>
        </w:rPr>
        <w:fldChar w:fldCharType="begin" w:fldLock="1"/>
      </w:r>
      <w:r w:rsidR="009E0BAE">
        <w:rPr>
          <w:rFonts w:ascii="Arial" w:hAnsi="Arial" w:cs="Arial"/>
          <w:sz w:val="24"/>
          <w:szCs w:val="24"/>
          <w:highlight w:val="yellow"/>
          <w:lang w:val="en-US"/>
        </w:rPr>
        <w:instrText>ADDIN CSL_CITATION { "citationItems" : [ { "id" : "ITEM-1", "itemData" : { "ISBN" : "9789291935116", "author" : [ { "dropping-particle" : "", "family" : "European Centre for Disease Prevention and Control", "given" : "", "non-dropping-particle" : "", "parse-names" : false, "suffix" : "" } ], "id" : "ITEM-1", "issued" : { "date-parts" : [ [ "2013" ] ] }, "publisher-place" : "Stockholm", "title" : "Antimicrobial resistance surveillance in Europe 2012. Annual report o the European Antimicrobial Resistance Surveillance Network (EARS-Net).", "type" : "report" }, "uris" : [ "http://www.mendeley.com/documents/?uuid=237ba15e-8aba-408f-bd9c-be503f5121f0" ] }, { "id" : "ITEM-2", "itemData" : { "author" : [ { "dropping-particle" : "", "family" : "Centres for Disease Control and Prevention.", "given" : "", "non-dropping-particle" : "", "parse-names" : false, "suffix" : "" } ], "id" : "ITEM-2", "issued" : { "date-parts" : [ [ "2013" ] ] }, "publisher-place" : "Atlanta", "title" : "Antibiotic resistance threats in the United States, 2013.", "type" : "report" }, "uris" : [ "http://www.mendeley.com/documents/?uuid=aa516bcc-9dbc-42d2-91db-61d4e2350a48" ] }, { "id" : "ITEM-3", "itemData" : { "author" : [ { "dropping-particle" : "", "family" : "World Health Organization", "given" : "", "non-dropping-particle" : "", "parse-names" : false, "suffix" : "" } ], "container-title" : "2012", "id" : "ITEM-3", "issued" : { "date-parts" : [ [ "2012" ] ] }, "publisher-place" : "Geneva", "title" : "The evolving threat of antimicrobial resistance: Options for action", "type" : "report" }, "uris" : [ "http://www.mendeley.com/documents/?uuid=d7dc2532-070a-4f17-a252-61a578e46efa" ] }, { "id" : "ITEM-4", "itemData" : { "author" : [ { "dropping-particle" : "", "family" : "Department of Health", "given" : "", "non-dropping-particle" : "", "parse-names" : false, "suffix" : "" }, { "dropping-particle" : "", "family" : "Department for Environment Food and Rural Affairs", "given" : "", "non-dropping-particle" : "", "parse-names" : false, "suffix" : "" } ], "id" : "ITEM-4", "issued" : { "date-parts" : [ [ "2013" ] ] }, "publisher-place" : "London", "title" : "UK Five Year Antimicrobial Resistance Strategy 2013 to 2018", "type" : "report" }, "uris" : [ "http://www.mendeley.com/documents/?uuid=e2b8a2c8-eab2-4c5c-af1b-5dab96d88c65" ] }, { "id" : "ITEM-5", "itemData" : { "author" : [ { "dropping-particle" : "", "family" : "World Health Organization.", "given" : "", "non-dropping-particle" : "", "parse-names" : false, "suffix" : "" } ], "id" : "ITEM-5", "issued" : { "date-parts" : [ [ "2013" ] ] }, "publisher-place" : "Geneva", "title" : "Strategic and Technical Advisory Group on Antimicrobial Resistance. Report of the first meeting Geneva, 19-20 September 2013.", "type" : "report" }, "uris" : [ "http://www.mendeley.com/documents/?uuid=48e30de8-b1be-4375-a3f7-db9213cf0101" ] }, { "id" : "ITEM-6", "itemData" : { "author" : [ { "dropping-particle" : "", "family" : "Laxminarayan", "given" : "Ramanan", "non-dropping-particle" : "", "parse-names" : false, "suffix" : "" }, { "dropping-particle" : "", "family" : "Duse", "given" : "Adriano", "non-dropping-particle" : "", "parse-names" : false, "suffix" : "" }, { "dropping-particle" : "", "family" : "Wattal", "given" : "Chand", "non-dropping-particle" : "", "parse-names" : false, "suffix" : "" }, { "dropping-particle" : "", "family" : "Zaidi", "given" : "Anita K M", "non-dropping-particle" : "", "parse-names" : false, "suffix" : "" }, { "dropping-particle" : "", "family" : "Wertheim", "given" : "Heiman F L", "non-dropping-particle" : "", "parse-names" : false, "suffix" : "" }, { "dropping-particle" : "", "family" : "Sumpradit", "given" : "Nithima", "non-dropping-particle" : "", "parse-names" : false, "suffix" : "" }, { "dropping-particle" : "", "family" : "Vlieghe", "given" : "Erika", "non-dropping-particle" : "", "parse-names" : false, "suffix" : "" }, { "dropping-particle" : "", "family" : "Hara", "given" : "Gabriel Levy", "non-dropping-particle" : "", "parse-names" : false, "suffix" : "" }, { "dropping-particle" : "", "family" : "Gould", "given" : "Ian M", "non-dropping-particle" : "", "parse-names" : false, "suffix" : "" }, { "dropping-particle" : "", "family" : "Goossens", "given" : "Herman", "non-dropping-particle" : "", "parse-names" : false, "suffix" : "" }, { "dropping-particle" : "", "family" : "Greko", "given" : "Christina", "non-dropping-particle" : "", "parse-names" : false, "suffix" : "" }, { "dropping-particle" : "", "family" : "So", "given" : "Anthony D", "non-dropping-particle" : "", "parse-names" : false, "suffix" : "" }, { "dropping-particle" : "", "family" : "Bigdeli", "given" : "Maryam", "non-dropping-particle" : "", "parse-names" : false, "suffix" : "" }, { "dropping-particle" : "", "family" : "Tomson", "given" : "G\u00f6ran", "non-dropping-particle" : "", "parse-names" : false, "suffix" : "" }, { "dropping-particle" : "", "family" : "Woodhouse", "given" : "Will", "non-dropping-particle" : "", "parse-names" : false, "suffix" : "" }, { "dropping-particle" : "", "family" : "Ombaka", "given" : "Eva", "non-dropping-particle" : "", "parse-names" : false, "suffix" : "" }, { "dropping-particle" : "", "family" : "Peralta", "given" : "Arturo Quizhpe", "non-dropping-particle" : "", "parse-names" : false, "suffix" : "" }, { "dropping-particle" : "", "family" : "Qamar", "given" : "Farah Naz", "non-dropping-particle" : "", "parse-names" : false, "suffix" : "" }, { "dropping-particle" : "", "family" : "Mir", "given" : "Fatima", "non-dropping-particle" : "", "parse-names" : false, "suffix" : "" }, { "dropping-particle" : "", "family" : "Kariuki", "given" : "Sam", "non-dropping-particle" : "", "parse-names" : false, "suffix" : "" }, { "dropping-particle" : "", "family" : "Bhutta", "given" : "Zulfiqar A", "non-dropping-particle" : "", "parse-names" : false, "suffix" : "" }, { "dropping-particle" : "", "family" : "Coates", "given" : "Anthony", "non-dropping-particle" : "", "parse-names" : false, "suffix" : "" }, { "dropping-particle" : "", "family" : "Bergstrom", "given" : "Richard", "non-dropping-particle" : "", "parse-names" : false, "suffix" : "" }, { "dropping-particle" : "", "family" : "Wright", "given" : "Gerard D", "non-dropping-particle" : "", "parse-names" : false, "suffix" : "" }, { "dropping-particle" : "", "family" : "Brown", "given" : "Eric D", "non-dropping-particle" : "", "parse-names" : false, "suffix" : "" }, { "dropping-particle" : "", "family" : "Cars", "given" : "Otto", "non-dropping-particle" : "", "parse-names" : false, "suffix" : "" } ], "container-title" : "Lancet Infectious Diseases", "id" : "ITEM-6", "issue" : "12", "issued" : { "date-parts" : [ [ "2013" ] ] }, "page" : "1057-98", "title" : "Antibiotic resistance-the need for global solutions.", "type" : "article-journal", "volume" : "13" }, "uris" : [ "http://www.mendeley.com/documents/?uuid=3ca22af9-bb87-4e1f-9ff0-97f74a412440" ] } ], "mendeley" : { "formattedCitation" : "&lt;sup&gt;10,20\u201322,87,88&lt;/sup&gt;", "plainTextFormattedCitation" : "10,20\u201322,87,88", "previouslyFormattedCitation" : "&lt;sup&gt;10,21\u201323,88,89&lt;/sup&gt;" }, "properties" : { "noteIndex" : 0 }, "schema" : "https://github.com/citation-style-language/schema/raw/master/csl-citation.json" }</w:instrText>
      </w:r>
      <w:r w:rsidR="00535D1C" w:rsidRPr="00E72A55">
        <w:rPr>
          <w:rFonts w:ascii="Arial" w:hAnsi="Arial" w:cs="Arial"/>
          <w:sz w:val="24"/>
          <w:szCs w:val="24"/>
          <w:highlight w:val="yellow"/>
          <w:lang w:val="en-US"/>
        </w:rPr>
        <w:fldChar w:fldCharType="separate"/>
      </w:r>
      <w:r w:rsidR="009E0BAE" w:rsidRPr="009E0BAE">
        <w:rPr>
          <w:rFonts w:ascii="Arial" w:hAnsi="Arial" w:cs="Arial"/>
          <w:noProof/>
          <w:sz w:val="24"/>
          <w:szCs w:val="24"/>
          <w:highlight w:val="yellow"/>
          <w:vertAlign w:val="superscript"/>
          <w:lang w:val="en-US"/>
        </w:rPr>
        <w:t>10,20–22,87,88</w:t>
      </w:r>
      <w:r w:rsidR="00535D1C" w:rsidRPr="00E72A55">
        <w:rPr>
          <w:rFonts w:ascii="Arial" w:hAnsi="Arial" w:cs="Arial"/>
          <w:sz w:val="24"/>
          <w:szCs w:val="24"/>
          <w:highlight w:val="yellow"/>
          <w:lang w:val="en-US"/>
        </w:rPr>
        <w:fldChar w:fldCharType="end"/>
      </w:r>
      <w:r w:rsidRPr="000767AE">
        <w:rPr>
          <w:rFonts w:ascii="Arial" w:hAnsi="Arial" w:cs="Arial"/>
          <w:sz w:val="24"/>
          <w:szCs w:val="24"/>
          <w:lang w:val="en-US"/>
        </w:rPr>
        <w:t xml:space="preserve"> These principles focus on: (1) Improving diagnosis and prescription practices; (2) Reducing </w:t>
      </w:r>
      <w:r w:rsidRPr="000767AE">
        <w:rPr>
          <w:rFonts w:ascii="Arial" w:hAnsi="Arial" w:cs="Arial"/>
          <w:sz w:val="24"/>
          <w:szCs w:val="24"/>
        </w:rPr>
        <w:t>antimicrobial</w:t>
      </w:r>
      <w:r w:rsidRPr="000767AE">
        <w:rPr>
          <w:rFonts w:ascii="Arial" w:hAnsi="Arial" w:cs="Arial"/>
          <w:sz w:val="24"/>
          <w:szCs w:val="24"/>
          <w:lang w:val="en-US"/>
        </w:rPr>
        <w:t xml:space="preserve"> use in animal husbandry</w:t>
      </w:r>
      <w:r w:rsidR="000325F8" w:rsidRPr="000767AE">
        <w:rPr>
          <w:rFonts w:ascii="Arial" w:hAnsi="Arial" w:cs="Arial"/>
          <w:sz w:val="24"/>
          <w:szCs w:val="24"/>
          <w:lang w:val="en-US"/>
        </w:rPr>
        <w:t xml:space="preserve">, </w:t>
      </w:r>
      <w:r w:rsidR="008737BB" w:rsidRPr="000767AE">
        <w:rPr>
          <w:rFonts w:ascii="Arial" w:hAnsi="Arial" w:cs="Arial"/>
          <w:sz w:val="24"/>
          <w:szCs w:val="24"/>
          <w:lang w:val="en-US"/>
        </w:rPr>
        <w:t>fish farming, agriculture and environmental exposure in general</w:t>
      </w:r>
      <w:r w:rsidRPr="000767AE">
        <w:rPr>
          <w:rFonts w:ascii="Arial" w:hAnsi="Arial" w:cs="Arial"/>
          <w:sz w:val="24"/>
          <w:szCs w:val="24"/>
          <w:lang w:val="en-US"/>
        </w:rPr>
        <w:t>; (3) Developing new antimicrobials; (4) Ensuring access to essential medicines of assured quality, and (5) Improving surveillance.</w:t>
      </w:r>
      <w:r w:rsidR="00B92EED" w:rsidRPr="000767AE">
        <w:rPr>
          <w:rFonts w:ascii="Arial" w:hAnsi="Arial" w:cs="Arial"/>
          <w:sz w:val="24"/>
          <w:szCs w:val="24"/>
          <w:lang w:val="en-US"/>
        </w:rPr>
        <w:t xml:space="preserve"> D</w:t>
      </w:r>
      <w:r w:rsidRPr="000767AE">
        <w:rPr>
          <w:rFonts w:ascii="Arial" w:hAnsi="Arial" w:cs="Arial"/>
          <w:sz w:val="24"/>
          <w:szCs w:val="24"/>
          <w:lang w:val="en-US"/>
        </w:rPr>
        <w:t>espite these “generic” principles</w:t>
      </w:r>
      <w:r w:rsidR="00DC1DA7" w:rsidRPr="000767AE">
        <w:rPr>
          <w:rFonts w:ascii="Arial" w:hAnsi="Arial" w:cs="Arial"/>
          <w:sz w:val="24"/>
          <w:szCs w:val="24"/>
          <w:lang w:val="en-US"/>
        </w:rPr>
        <w:t xml:space="preserve"> being acknowledged</w:t>
      </w:r>
      <w:r w:rsidRPr="000767AE">
        <w:rPr>
          <w:rFonts w:ascii="Arial" w:hAnsi="Arial" w:cs="Arial"/>
          <w:sz w:val="24"/>
          <w:szCs w:val="24"/>
          <w:lang w:val="en-US"/>
        </w:rPr>
        <w:t xml:space="preserve">, </w:t>
      </w:r>
      <w:r w:rsidR="00DC1DA7" w:rsidRPr="000767AE">
        <w:rPr>
          <w:rFonts w:ascii="Arial" w:hAnsi="Arial" w:cs="Arial"/>
          <w:sz w:val="24"/>
          <w:szCs w:val="24"/>
          <w:lang w:val="en-US"/>
        </w:rPr>
        <w:t xml:space="preserve">implementation </w:t>
      </w:r>
      <w:r w:rsidR="00B92EED" w:rsidRPr="000767AE">
        <w:rPr>
          <w:rFonts w:ascii="Arial" w:hAnsi="Arial" w:cs="Arial"/>
          <w:sz w:val="24"/>
          <w:szCs w:val="24"/>
          <w:lang w:val="en-US"/>
        </w:rPr>
        <w:t>has been slow</w:t>
      </w:r>
      <w:r w:rsidRPr="000767AE">
        <w:rPr>
          <w:rFonts w:ascii="Arial" w:hAnsi="Arial" w:cs="Arial"/>
          <w:sz w:val="24"/>
          <w:szCs w:val="24"/>
          <w:lang w:val="en-US"/>
        </w:rPr>
        <w:t>.</w:t>
      </w:r>
      <w:r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"10.1016/S1473-3099(10)70264-4", "ISSN" : "1474-4457", "PMID" : "21371657", "abstract" : "The emergence of resistant pathogens in response to selection pressure by drugs and their possible disappearance when drug use is discontinued are evolutionary processes common to many pathogens. Population biological models have been used to study the dynamics of resistance in viruses, bacteria, and eukaryotic microparasites both at the level of the individual treated host and of the treated host population. Despite the existence of generic features that underlie such evolutionary dynamics, different conclusions have been reached about the key factors affecting the rate of resistance evolution and how to best use drugs to minimise the risk of generating high levels of resistance. Improved understanding of generic versus specific population biological aspects will help to translate results between different studies, and allow development of a more rational basis for sustainable drug use than exists at present.", "author" : [ { "dropping-particle" : "", "family" : "Wiesch", "given" : "Pia Abel", "non-dropping-particle" : "zur", "parse-names" : false, "suffix" : "" }, { "dropping-particle" : "", "family" : "Kouyos", "given" : "Roger", "non-dropping-particle" : "", "parse-names" : false, "suffix" : "" }, { "dropping-particle" : "", "family" : "Engelst\u00e4dter", "given" : "Jan", "non-dropping-particle" : "", "parse-names" : false, "suffix" : "" }, { "dropping-particle" : "", "family" : "Regoes", "given" : "Roland R", "non-dropping-particle" : "", "parse-names" : false, "suffix" : "" }, { "dropping-particle" : "", "family" : "Bonhoeffer", "given" : "Sebastian", "non-dropping-particle" : "", "parse-names" : false, "suffix" : "" } ], "container-title" : "Lancet Infectious Diseases", "id" : "ITEM-1", "issue" : "3", "issued" : { "date-parts" : [ [ "2011", "3" ] ] }, "page" : "236-47", "title" : "Population biological principles of drug-resistance evolution in infectious diseases.", "type" : "article-journal", "volume" : "11" }, "uris" : [ "http://www.mendeley.com/documents/?uuid=19a0ff02-6ed3-442c-9533-cf5a1628eb09", "http://www.mendeley.com/documents/?uuid=0dbdd2ad-19e6-4cdc-89ec-ca6c5376f99a" ] } ], "mendeley" : { "formattedCitation" : "&lt;sup&gt;89&lt;/sup&gt;", "plainTextFormattedCitation" : "89", "previouslyFormattedCitation" : "&lt;sup&gt;90&lt;/sup&gt;" }, "properties" : { "noteIndex" : 0 }, "schema" : "https://github.com/citation-style-language/schema/raw/master/csl-citation.json" }</w:instrText>
      </w:r>
      <w:r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89</w:t>
      </w:r>
      <w:r w:rsidRPr="000767AE">
        <w:rPr>
          <w:rFonts w:ascii="Arial" w:hAnsi="Arial" w:cs="Arial"/>
          <w:sz w:val="24"/>
          <w:szCs w:val="24"/>
          <w:lang w:val="en-US"/>
        </w:rPr>
        <w:fldChar w:fldCharType="end"/>
      </w:r>
      <w:r w:rsidRPr="000767AE">
        <w:rPr>
          <w:rFonts w:ascii="Arial" w:hAnsi="Arial" w:cs="Arial"/>
          <w:sz w:val="24"/>
          <w:szCs w:val="24"/>
          <w:lang w:val="en-US"/>
        </w:rPr>
        <w:t xml:space="preserve"> However, some disease specific approaches have been tried, and </w:t>
      </w:r>
      <w:r w:rsidR="00190410" w:rsidRPr="000767AE">
        <w:rPr>
          <w:rFonts w:ascii="Arial" w:hAnsi="Arial" w:cs="Arial"/>
          <w:sz w:val="24"/>
          <w:szCs w:val="24"/>
          <w:lang w:val="en-US"/>
        </w:rPr>
        <w:t xml:space="preserve">the evidence suggests several </w:t>
      </w:r>
      <w:r w:rsidRPr="000767AE">
        <w:rPr>
          <w:rFonts w:ascii="Arial" w:hAnsi="Arial" w:cs="Arial"/>
          <w:sz w:val="24"/>
          <w:szCs w:val="24"/>
          <w:lang w:val="en-US"/>
        </w:rPr>
        <w:t xml:space="preserve">could be beneficial if tested and validated on a wider range of </w:t>
      </w:r>
      <w:r w:rsidR="000D4332" w:rsidRPr="000767AE">
        <w:rPr>
          <w:rFonts w:ascii="Arial" w:hAnsi="Arial" w:cs="Arial"/>
          <w:sz w:val="24"/>
          <w:szCs w:val="24"/>
          <w:lang w:val="en-US"/>
        </w:rPr>
        <w:t>infectious</w:t>
      </w:r>
      <w:r w:rsidRPr="000767AE">
        <w:rPr>
          <w:rFonts w:ascii="Arial" w:hAnsi="Arial" w:cs="Arial"/>
          <w:sz w:val="24"/>
          <w:szCs w:val="24"/>
          <w:lang w:val="en-US"/>
        </w:rPr>
        <w:t xml:space="preserve"> diseases</w:t>
      </w:r>
      <w:r w:rsidR="00190410" w:rsidRPr="000767AE">
        <w:rPr>
          <w:rFonts w:ascii="Arial" w:hAnsi="Arial" w:cs="Arial"/>
          <w:sz w:val="24"/>
          <w:szCs w:val="24"/>
          <w:lang w:val="en-US"/>
        </w:rPr>
        <w:t xml:space="preserve"> (</w:t>
      </w:r>
      <w:r w:rsidR="00190410" w:rsidRPr="000767AE">
        <w:rPr>
          <w:rFonts w:ascii="Arial" w:hAnsi="Arial" w:cs="Arial"/>
          <w:b/>
          <w:sz w:val="24"/>
          <w:szCs w:val="24"/>
          <w:lang w:val="en-US"/>
        </w:rPr>
        <w:t>Panel 2</w:t>
      </w:r>
      <w:r w:rsidR="00190410" w:rsidRPr="000767AE">
        <w:rPr>
          <w:rFonts w:ascii="Arial" w:hAnsi="Arial" w:cs="Arial"/>
          <w:sz w:val="24"/>
          <w:szCs w:val="24"/>
          <w:lang w:val="en-US"/>
        </w:rPr>
        <w:t>)</w:t>
      </w:r>
      <w:r w:rsidRPr="000767AE">
        <w:rPr>
          <w:rFonts w:ascii="Arial" w:hAnsi="Arial" w:cs="Arial"/>
          <w:sz w:val="24"/>
          <w:szCs w:val="24"/>
          <w:lang w:val="en-US"/>
        </w:rPr>
        <w:t xml:space="preserve">. </w:t>
      </w:r>
    </w:p>
    <w:p w14:paraId="2A283A96" w14:textId="77777777" w:rsidR="00A053CE" w:rsidRPr="000767AE" w:rsidRDefault="00A053CE" w:rsidP="00A053CE">
      <w:pPr>
        <w:rPr>
          <w:rFonts w:ascii="Arial" w:hAnsi="Arial" w:cs="Arial"/>
          <w:sz w:val="24"/>
          <w:szCs w:val="24"/>
          <w:lang w:val="en-US"/>
        </w:rPr>
      </w:pPr>
    </w:p>
    <w:p w14:paraId="645C4DB7" w14:textId="29BC49EF" w:rsidR="00A053CE" w:rsidRPr="000767AE" w:rsidRDefault="00A053CE" w:rsidP="00A053CE">
      <w:pPr>
        <w:rPr>
          <w:rFonts w:ascii="Arial" w:hAnsi="Arial" w:cs="Arial"/>
          <w:sz w:val="24"/>
          <w:szCs w:val="24"/>
          <w:lang w:val="en-US"/>
        </w:rPr>
      </w:pPr>
      <w:r w:rsidRPr="000767AE">
        <w:rPr>
          <w:rFonts w:ascii="Arial" w:hAnsi="Arial" w:cs="Arial"/>
          <w:sz w:val="24"/>
          <w:szCs w:val="24"/>
          <w:lang w:val="en-US"/>
        </w:rPr>
        <w:t xml:space="preserve">In </w:t>
      </w:r>
      <w:r w:rsidR="00D31CB8" w:rsidRPr="000767AE">
        <w:rPr>
          <w:rFonts w:ascii="Arial" w:hAnsi="Arial" w:cs="Arial"/>
          <w:sz w:val="24"/>
          <w:szCs w:val="24"/>
          <w:lang w:val="en-US"/>
        </w:rPr>
        <w:t xml:space="preserve">a </w:t>
      </w:r>
      <w:r w:rsidRPr="000767AE">
        <w:rPr>
          <w:rFonts w:ascii="Arial" w:hAnsi="Arial" w:cs="Arial"/>
          <w:sz w:val="24"/>
          <w:szCs w:val="24"/>
          <w:lang w:val="en-US"/>
        </w:rPr>
        <w:t xml:space="preserve">world where patients </w:t>
      </w:r>
      <w:r w:rsidR="000D4332" w:rsidRPr="000767AE">
        <w:rPr>
          <w:rFonts w:ascii="Arial" w:hAnsi="Arial" w:cs="Arial"/>
          <w:sz w:val="24"/>
          <w:szCs w:val="24"/>
          <w:lang w:val="en-US"/>
        </w:rPr>
        <w:t xml:space="preserve">often </w:t>
      </w:r>
      <w:r w:rsidRPr="000767AE">
        <w:rPr>
          <w:rFonts w:ascii="Arial" w:hAnsi="Arial" w:cs="Arial"/>
          <w:sz w:val="24"/>
          <w:szCs w:val="24"/>
          <w:lang w:val="en-US"/>
        </w:rPr>
        <w:t xml:space="preserve">need urgent effective treatment, </w:t>
      </w:r>
      <w:r w:rsidR="00190410" w:rsidRPr="000767AE">
        <w:rPr>
          <w:rFonts w:ascii="Arial" w:hAnsi="Arial" w:cs="Arial"/>
          <w:sz w:val="24"/>
          <w:szCs w:val="24"/>
          <w:lang w:val="en-US"/>
        </w:rPr>
        <w:t>some antimicrobial optimisation</w:t>
      </w:r>
      <w:r w:rsidRPr="000767AE">
        <w:rPr>
          <w:rFonts w:ascii="Arial" w:hAnsi="Arial" w:cs="Arial"/>
          <w:sz w:val="24"/>
          <w:szCs w:val="24"/>
          <w:lang w:val="en-US"/>
        </w:rPr>
        <w:t xml:space="preserve"> strategies present practical challenges.</w:t>
      </w:r>
      <w:r w:rsidR="00C7153C" w:rsidRPr="000767AE">
        <w:rPr>
          <w:rFonts w:ascii="Arial" w:hAnsi="Arial" w:cs="Arial"/>
          <w:sz w:val="24"/>
          <w:szCs w:val="24"/>
          <w:lang w:val="en-US"/>
        </w:rPr>
        <w:t xml:space="preserve"> Analysis of antimicrobial stewardship programmes, and their implementation in varied healthcare settings, is an area of vigorous academic pursuit, and whilst many lessons have clearly been learnt,</w:t>
      </w:r>
      <w:r w:rsidR="00CB3C1E"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"author" : [ { "dropping-particle" : "", "family" : "Davey", "given" : "P", "non-dropping-particle" : "", "parse-names" : false, "suffix" : "" }, { "dropping-particle" : "", "family" : "Brown", "given" : "E", "non-dropping-particle" : "", "parse-names" : false, "suffix" : "" }, { "dropping-particle" : "", "family" : "Charani", "given" : "E", "non-dropping-particle" : "", "parse-names" : false, "suffix" : "" }, { "dropping-particle" : "", "family" : "Fenelon", "given" : "L", "non-dropping-particle" : "", "parse-names" : false, "suffix" : "" }, { "dropping-particle" : "", "family" : "Gould", "given" : "IM", "non-dropping-particle" : "", "parse-names" : false, "suffix" : "" }, { "dropping-particle" : "", "family" : "Holmes", "given" : "AH", "non-dropping-particle" : "", "parse-names" : false, "suffix" : "" }, { "dropping-particle" : "", "family" : "Ramsay", "given" : "CR", "non-dropping-particle" : "", "parse-names" : false, "suffix" : "" }, { "dropping-particle" : "", "family" : "Wiffen", "given" : "PJ", "non-dropping-particle" : "", "parse-names" : false, "suffix" : "" } ], "container-title" : "The Cochrane Library", "id" : "ITEM-1", "issue" : "4", "issued" : { "date-parts" : [ [ "2013" ] ] }, "title" : "Interventions to improve antibiotic prescribing practices for hospital inpatients (Review)", "type" : "article-journal" }, "uris" : [ "http://www.mendeley.com/documents/?uuid=cee49f2c-087e-4fca-b258-189ce299e701" ] } ], "mendeley" : { "formattedCitation" : "&lt;sup&gt;28&lt;/sup&gt;", "plainTextFormattedCitation" : "28", "previouslyFormattedCitation" : "&lt;sup&gt;29&lt;/sup&gt;" }, "properties" : { "noteIndex" : 0 }, "schema" : "https://github.com/citation-style-language/schema/raw/master/csl-citation.json" }</w:instrText>
      </w:r>
      <w:r w:rsidR="00CB3C1E"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28</w:t>
      </w:r>
      <w:r w:rsidR="00CB3C1E" w:rsidRPr="000767AE">
        <w:rPr>
          <w:rFonts w:ascii="Arial" w:hAnsi="Arial" w:cs="Arial"/>
          <w:sz w:val="24"/>
          <w:szCs w:val="24"/>
          <w:lang w:val="en-US"/>
        </w:rPr>
        <w:fldChar w:fldCharType="end"/>
      </w:r>
      <w:r w:rsidR="00C7153C" w:rsidRPr="000767AE">
        <w:rPr>
          <w:rFonts w:ascii="Arial" w:hAnsi="Arial" w:cs="Arial"/>
          <w:sz w:val="24"/>
          <w:szCs w:val="24"/>
          <w:lang w:val="en-US"/>
        </w:rPr>
        <w:t xml:space="preserve"> gaps in understanding still exist</w:t>
      </w:r>
      <w:r w:rsidR="00E72A55" w:rsidRPr="00E72A55">
        <w:rPr>
          <w:rFonts w:ascii="Arial" w:hAnsi="Arial" w:cs="Arial"/>
          <w:sz w:val="24"/>
          <w:szCs w:val="24"/>
          <w:highlight w:val="yellow"/>
          <w:lang w:val="en-US"/>
        </w:rPr>
        <w:t>.</w:t>
      </w:r>
      <w:r w:rsidR="00E72A55" w:rsidRPr="00E72A55">
        <w:rPr>
          <w:rFonts w:ascii="Arial" w:hAnsi="Arial" w:cs="Arial"/>
          <w:sz w:val="24"/>
          <w:szCs w:val="24"/>
          <w:highlight w:val="yellow"/>
          <w:lang w:val="en-US"/>
        </w:rPr>
        <w:fldChar w:fldCharType="begin" w:fldLock="1"/>
      </w:r>
      <w:r w:rsidR="009E0BAE">
        <w:rPr>
          <w:rFonts w:ascii="Arial" w:hAnsi="Arial" w:cs="Arial"/>
          <w:sz w:val="24"/>
          <w:szCs w:val="24"/>
          <w:highlight w:val="yellow"/>
          <w:lang w:val="en-US"/>
        </w:rPr>
        <w:instrText>ADDIN CSL_CITATION { "citationItems" : [ { "id" : "ITEM-1", "itemData" : { "DOI" : "10.1016/j.ijantimicag.2014.11.014", "ISSN" : "0924-8579", "author" : [ { "dropping-particle" : "", "family" : "Davey", "given" : "Peter", "non-dropping-particle" : "", "parse-names" : false, "suffix" : "" }, { "dropping-particle" : "", "family" : "Peden", "given" : "Claire", "non-dropping-particle" : "", "parse-names" : false, "suffix" : "" }, { "dropping-particle" : "", "family" : "Charani", "given" : "Esmita", "non-dropping-particle" : "", "parse-names" : false, "suffix" : "" }, { "dropping-particle" : "", "family" : "Marwick", "given" : "Charis", "non-dropping-particle" : "", "parse-names" : false, "suffix" : "" }, { "dropping-particle" : "", "family" : "Michie", "given" : "Susan", "non-dropping-particle" : "", "parse-names" : false, "suffix" : "" } ], "container-title" : "International Journal of Antimicrobial Agents", "id" : "ITEM-1", "issued" : { "date-parts" : [ [ "2015" ] ] }, "page" : "[epub ahead of print]", "publisher" : "Elsevier B.V.", "title" : "Time for action\u2014Improving the design and reporting of behaviour change interventions for antimicrobial stewardship in hospitals: Early findings from a systematic review", "type" : "article-journal" }, "uris" : [ "http://www.mendeley.com/documents/?uuid=7f4715b1-2c53-4692-adec-762bf6de492e" ] } ], "mendeley" : { "formattedCitation" : "&lt;sup&gt;90&lt;/sup&gt;", "plainTextFormattedCitation" : "90", "previouslyFormattedCitation" : "&lt;sup&gt;91&lt;/sup&gt;" }, "properties" : { "noteIndex" : 0 }, "schema" : "https://github.com/citation-style-language/schema/raw/master/csl-citation.json" }</w:instrText>
      </w:r>
      <w:r w:rsidR="00E72A55" w:rsidRPr="00E72A55">
        <w:rPr>
          <w:rFonts w:ascii="Arial" w:hAnsi="Arial" w:cs="Arial"/>
          <w:sz w:val="24"/>
          <w:szCs w:val="24"/>
          <w:highlight w:val="yellow"/>
          <w:lang w:val="en-US"/>
        </w:rPr>
        <w:fldChar w:fldCharType="separate"/>
      </w:r>
      <w:r w:rsidR="009E0BAE" w:rsidRPr="009E0BAE">
        <w:rPr>
          <w:rFonts w:ascii="Arial" w:hAnsi="Arial" w:cs="Arial"/>
          <w:noProof/>
          <w:sz w:val="24"/>
          <w:szCs w:val="24"/>
          <w:highlight w:val="yellow"/>
          <w:vertAlign w:val="superscript"/>
          <w:lang w:val="en-US"/>
        </w:rPr>
        <w:t>90</w:t>
      </w:r>
      <w:r w:rsidR="00E72A55" w:rsidRPr="00E72A55">
        <w:rPr>
          <w:rFonts w:ascii="Arial" w:hAnsi="Arial" w:cs="Arial"/>
          <w:sz w:val="24"/>
          <w:szCs w:val="24"/>
          <w:highlight w:val="yellow"/>
          <w:lang w:val="en-US"/>
        </w:rPr>
        <w:fldChar w:fldCharType="end"/>
      </w:r>
      <w:r w:rsidR="00E8316E" w:rsidRPr="000767AE">
        <w:rPr>
          <w:rFonts w:ascii="Arial" w:hAnsi="Arial" w:cs="Arial"/>
          <w:noProof/>
          <w:sz w:val="24"/>
          <w:szCs w:val="24"/>
          <w:vertAlign w:val="superscript"/>
          <w:lang w:val="en-US"/>
        </w:rPr>
        <w:t xml:space="preserve"> </w:t>
      </w:r>
      <w:r w:rsidR="00C7153C" w:rsidRPr="000767AE">
        <w:rPr>
          <w:rFonts w:ascii="Arial" w:hAnsi="Arial" w:cs="Arial"/>
          <w:sz w:val="24"/>
          <w:szCs w:val="24"/>
          <w:lang w:val="en-US"/>
        </w:rPr>
        <w:t>T</w:t>
      </w:r>
      <w:r w:rsidRPr="000767AE">
        <w:rPr>
          <w:rFonts w:ascii="Arial" w:hAnsi="Arial" w:cs="Arial"/>
          <w:sz w:val="24"/>
          <w:szCs w:val="24"/>
          <w:lang w:val="en-US"/>
        </w:rPr>
        <w:t xml:space="preserve">he human and economic costs </w:t>
      </w:r>
      <w:r w:rsidR="00190410" w:rsidRPr="000767AE">
        <w:rPr>
          <w:rFonts w:ascii="Arial" w:hAnsi="Arial" w:cs="Arial"/>
          <w:sz w:val="24"/>
          <w:szCs w:val="24"/>
          <w:lang w:val="en-US"/>
        </w:rPr>
        <w:t xml:space="preserve">of overcoming these </w:t>
      </w:r>
      <w:r w:rsidR="00C7153C" w:rsidRPr="000767AE">
        <w:rPr>
          <w:rFonts w:ascii="Arial" w:hAnsi="Arial" w:cs="Arial"/>
          <w:sz w:val="24"/>
          <w:szCs w:val="24"/>
          <w:lang w:val="en-US"/>
        </w:rPr>
        <w:t>challenges</w:t>
      </w:r>
      <w:r w:rsidR="00CE4C80" w:rsidRPr="000767AE">
        <w:rPr>
          <w:rFonts w:ascii="Arial" w:hAnsi="Arial" w:cs="Arial"/>
          <w:sz w:val="24"/>
          <w:szCs w:val="24"/>
          <w:lang w:val="en-US"/>
        </w:rPr>
        <w:t>, and filling these gaps,</w:t>
      </w:r>
      <w:r w:rsidR="00C7153C" w:rsidRPr="000767AE">
        <w:rPr>
          <w:rFonts w:ascii="Arial" w:hAnsi="Arial" w:cs="Arial"/>
          <w:sz w:val="24"/>
          <w:szCs w:val="24"/>
          <w:lang w:val="en-US"/>
        </w:rPr>
        <w:t xml:space="preserve"> </w:t>
      </w:r>
      <w:r w:rsidRPr="000767AE">
        <w:rPr>
          <w:rFonts w:ascii="Arial" w:hAnsi="Arial" w:cs="Arial"/>
          <w:sz w:val="24"/>
          <w:szCs w:val="24"/>
          <w:lang w:val="en-US"/>
        </w:rPr>
        <w:t xml:space="preserve">are </w:t>
      </w:r>
      <w:r w:rsidR="00190410" w:rsidRPr="000767AE">
        <w:rPr>
          <w:rFonts w:ascii="Arial" w:hAnsi="Arial" w:cs="Arial"/>
          <w:sz w:val="24"/>
          <w:szCs w:val="24"/>
          <w:lang w:val="en-US"/>
        </w:rPr>
        <w:t xml:space="preserve">likely to be </w:t>
      </w:r>
      <w:r w:rsidRPr="000767AE">
        <w:rPr>
          <w:rFonts w:ascii="Arial" w:hAnsi="Arial" w:cs="Arial"/>
          <w:sz w:val="24"/>
          <w:szCs w:val="24"/>
          <w:lang w:val="en-US"/>
        </w:rPr>
        <w:t xml:space="preserve">small compared with </w:t>
      </w:r>
      <w:r w:rsidR="00CE4C80" w:rsidRPr="000767AE">
        <w:rPr>
          <w:rFonts w:ascii="Arial" w:hAnsi="Arial"/>
          <w:sz w:val="24"/>
          <w:lang w:val="en-US"/>
        </w:rPr>
        <w:t xml:space="preserve">unchecked resistance meaning drugs must be </w:t>
      </w:r>
      <w:r w:rsidRPr="000767AE">
        <w:rPr>
          <w:rFonts w:ascii="Arial" w:hAnsi="Arial"/>
          <w:sz w:val="24"/>
          <w:lang w:val="en-US"/>
        </w:rPr>
        <w:t>‘retire</w:t>
      </w:r>
      <w:r w:rsidR="00CE4C80" w:rsidRPr="000767AE">
        <w:rPr>
          <w:rFonts w:ascii="Arial" w:hAnsi="Arial"/>
          <w:sz w:val="24"/>
          <w:lang w:val="en-US"/>
        </w:rPr>
        <w:t>d</w:t>
      </w:r>
      <w:r w:rsidRPr="000767AE">
        <w:rPr>
          <w:rFonts w:ascii="Arial" w:hAnsi="Arial"/>
          <w:sz w:val="24"/>
          <w:lang w:val="en-US"/>
        </w:rPr>
        <w:t xml:space="preserve">’ and </w:t>
      </w:r>
      <w:r w:rsidRPr="000767AE">
        <w:rPr>
          <w:rFonts w:ascii="Arial" w:hAnsi="Arial" w:cs="Arial"/>
          <w:sz w:val="24"/>
          <w:szCs w:val="24"/>
          <w:lang w:val="en-US"/>
        </w:rPr>
        <w:t>replace</w:t>
      </w:r>
      <w:r w:rsidR="00CE4C80" w:rsidRPr="000767AE">
        <w:rPr>
          <w:rFonts w:ascii="Arial" w:hAnsi="Arial" w:cs="Arial"/>
          <w:sz w:val="24"/>
          <w:szCs w:val="24"/>
          <w:lang w:val="en-US"/>
        </w:rPr>
        <w:t>d</w:t>
      </w:r>
      <w:r w:rsidRPr="000767AE">
        <w:rPr>
          <w:rFonts w:ascii="Arial" w:hAnsi="Arial" w:cs="Arial"/>
          <w:sz w:val="24"/>
          <w:szCs w:val="24"/>
          <w:lang w:val="en-US"/>
        </w:rPr>
        <w:t xml:space="preserve"> with newly developed alternatives</w:t>
      </w:r>
      <w:r w:rsidR="00CE4C80" w:rsidRPr="000767AE">
        <w:rPr>
          <w:rFonts w:ascii="Arial" w:hAnsi="Arial" w:cs="Arial"/>
          <w:sz w:val="24"/>
          <w:szCs w:val="24"/>
          <w:lang w:val="en-US"/>
        </w:rPr>
        <w:t>,</w:t>
      </w:r>
      <w:r w:rsidR="000D4332" w:rsidRPr="000767AE">
        <w:rPr>
          <w:rFonts w:ascii="Arial" w:hAnsi="Arial" w:cs="Arial"/>
          <w:sz w:val="24"/>
          <w:szCs w:val="24"/>
          <w:lang w:val="en-US"/>
        </w:rPr>
        <w:t xml:space="preserve"> or worse the inability to treat at all</w:t>
      </w:r>
      <w:r w:rsidRPr="000767AE">
        <w:rPr>
          <w:rFonts w:ascii="Arial" w:hAnsi="Arial" w:cs="Arial"/>
          <w:sz w:val="24"/>
          <w:szCs w:val="24"/>
          <w:lang w:val="en-US"/>
        </w:rPr>
        <w:t>.</w:t>
      </w:r>
      <w:r w:rsidR="00637228"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"author" : [ { "dropping-particle" : "", "family" : "Review on Antimicrobial Resistance", "given" : "", "non-dropping-particle" : "", "parse-names" : false, "suffix" : "" } ], "id" : "ITEM-1", "issue" : "December", "issued" : { "date-parts" : [ [ "2014" ] ] }, "publisher-place" : "London", "title" : "Antimicrobial Resistance : Tackling a crisis for the health and wealth of nations", "type" : "report" }, "uris" : [ "http://www.mendeley.com/documents/?uuid=1dfefa22-63b5-42e6-9d24-7760005712e9" ] } ], "mendeley" : { "formattedCitation" : "&lt;sup&gt;91&lt;/sup&gt;", "plainTextFormattedCitation" : "91", "previouslyFormattedCitation" : "&lt;sup&gt;92&lt;/sup&gt;" }, "properties" : { "noteIndex" : 0 }, "schema" : "https://github.com/citation-style-language/schema/raw/master/csl-citation.json" }</w:instrText>
      </w:r>
      <w:r w:rsidR="00637228"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91</w:t>
      </w:r>
      <w:r w:rsidR="00637228" w:rsidRPr="000767AE">
        <w:rPr>
          <w:rFonts w:ascii="Arial" w:hAnsi="Arial" w:cs="Arial"/>
          <w:sz w:val="24"/>
          <w:szCs w:val="24"/>
          <w:lang w:val="en-US"/>
        </w:rPr>
        <w:fldChar w:fldCharType="end"/>
      </w:r>
      <w:r w:rsidRPr="000767AE">
        <w:rPr>
          <w:rFonts w:ascii="Arial" w:hAnsi="Arial" w:cs="Arial"/>
          <w:sz w:val="24"/>
          <w:szCs w:val="24"/>
          <w:lang w:val="en-US"/>
        </w:rPr>
        <w:t xml:space="preserve"> </w:t>
      </w:r>
      <w:r w:rsidR="00136593" w:rsidRPr="000767AE">
        <w:rPr>
          <w:rFonts w:ascii="Arial" w:hAnsi="Arial" w:cs="Arial"/>
          <w:sz w:val="24"/>
          <w:szCs w:val="24"/>
          <w:lang w:val="en-US"/>
        </w:rPr>
        <w:t>Furthermore</w:t>
      </w:r>
      <w:r w:rsidR="00CE4C80" w:rsidRPr="000767AE">
        <w:rPr>
          <w:rFonts w:ascii="Arial" w:hAnsi="Arial" w:cs="Arial"/>
          <w:sz w:val="24"/>
          <w:szCs w:val="24"/>
          <w:lang w:val="en-US"/>
        </w:rPr>
        <w:t>,</w:t>
      </w:r>
      <w:r w:rsidR="00136593" w:rsidRPr="000767AE">
        <w:rPr>
          <w:rFonts w:ascii="Arial" w:hAnsi="Arial" w:cs="Arial"/>
          <w:sz w:val="24"/>
          <w:szCs w:val="24"/>
          <w:lang w:val="en-US"/>
        </w:rPr>
        <w:t xml:space="preserve"> </w:t>
      </w:r>
      <w:r w:rsidR="00760C79" w:rsidRPr="000767AE">
        <w:rPr>
          <w:rFonts w:ascii="Arial" w:hAnsi="Arial" w:cs="Arial"/>
          <w:sz w:val="24"/>
          <w:szCs w:val="24"/>
          <w:lang w:val="en-US"/>
        </w:rPr>
        <w:t>beyond</w:t>
      </w:r>
      <w:r w:rsidR="00136593" w:rsidRPr="000767AE">
        <w:rPr>
          <w:rFonts w:ascii="Arial" w:hAnsi="Arial" w:cs="Arial"/>
          <w:sz w:val="24"/>
          <w:szCs w:val="24"/>
          <w:lang w:val="en-US"/>
        </w:rPr>
        <w:t xml:space="preserve"> optimisation of antimicrobial use</w:t>
      </w:r>
      <w:r w:rsidR="00B75BA7" w:rsidRPr="000767AE">
        <w:rPr>
          <w:rFonts w:ascii="Arial" w:hAnsi="Arial" w:cs="Arial"/>
          <w:sz w:val="24"/>
          <w:szCs w:val="24"/>
          <w:lang w:val="en-US"/>
        </w:rPr>
        <w:t>,</w:t>
      </w:r>
      <w:r w:rsidR="00136593" w:rsidRPr="000767AE">
        <w:rPr>
          <w:rFonts w:ascii="Arial" w:hAnsi="Arial" w:cs="Arial"/>
          <w:sz w:val="24"/>
          <w:szCs w:val="24"/>
          <w:lang w:val="en-US"/>
        </w:rPr>
        <w:t xml:space="preserve"> development and implementation of robust infection </w:t>
      </w:r>
      <w:r w:rsidR="00CB3C1E" w:rsidRPr="000767AE">
        <w:rPr>
          <w:rFonts w:ascii="Arial" w:hAnsi="Arial" w:cs="Arial"/>
          <w:sz w:val="24"/>
          <w:szCs w:val="24"/>
          <w:lang w:val="en-US"/>
        </w:rPr>
        <w:t xml:space="preserve">prevention and </w:t>
      </w:r>
      <w:r w:rsidR="00136593" w:rsidRPr="000767AE">
        <w:rPr>
          <w:rFonts w:ascii="Arial" w:hAnsi="Arial" w:cs="Arial"/>
          <w:sz w:val="24"/>
          <w:szCs w:val="24"/>
          <w:lang w:val="en-US"/>
        </w:rPr>
        <w:t xml:space="preserve">control initiatives at national and local levels </w:t>
      </w:r>
      <w:r w:rsidR="00C7153C" w:rsidRPr="000767AE">
        <w:rPr>
          <w:rFonts w:ascii="Arial" w:hAnsi="Arial" w:cs="Arial"/>
          <w:sz w:val="24"/>
          <w:szCs w:val="24"/>
          <w:lang w:val="en-US"/>
        </w:rPr>
        <w:t>must be</w:t>
      </w:r>
      <w:r w:rsidR="00136593" w:rsidRPr="000767AE">
        <w:rPr>
          <w:rFonts w:ascii="Arial" w:hAnsi="Arial" w:cs="Arial"/>
          <w:sz w:val="24"/>
          <w:szCs w:val="24"/>
          <w:lang w:val="en-US"/>
        </w:rPr>
        <w:t xml:space="preserve"> established</w:t>
      </w:r>
      <w:r w:rsidR="00C7153C" w:rsidRPr="000767AE">
        <w:rPr>
          <w:rFonts w:ascii="Arial" w:hAnsi="Arial" w:cs="Arial"/>
          <w:sz w:val="24"/>
          <w:szCs w:val="24"/>
          <w:lang w:val="en-US"/>
        </w:rPr>
        <w:t xml:space="preserve"> </w:t>
      </w:r>
      <w:r w:rsidR="00760C79" w:rsidRPr="000767AE">
        <w:rPr>
          <w:rFonts w:ascii="Arial" w:hAnsi="Arial" w:cs="Arial"/>
          <w:sz w:val="24"/>
          <w:szCs w:val="24"/>
          <w:lang w:val="en-US"/>
        </w:rPr>
        <w:t>to</w:t>
      </w:r>
      <w:r w:rsidR="00136593" w:rsidRPr="000767AE">
        <w:rPr>
          <w:rFonts w:ascii="Arial" w:hAnsi="Arial" w:cs="Arial"/>
          <w:sz w:val="24"/>
          <w:szCs w:val="24"/>
          <w:lang w:val="en-US"/>
        </w:rPr>
        <w:t xml:space="preserve"> curtail onwards transmission of </w:t>
      </w:r>
      <w:r w:rsidR="00CE4C80" w:rsidRPr="000767AE">
        <w:rPr>
          <w:rFonts w:ascii="Arial" w:hAnsi="Arial" w:cs="Arial"/>
          <w:sz w:val="24"/>
          <w:szCs w:val="24"/>
          <w:lang w:val="en-US"/>
        </w:rPr>
        <w:t>AMR microbes</w:t>
      </w:r>
      <w:r w:rsidR="00136593" w:rsidRPr="000767AE">
        <w:rPr>
          <w:rFonts w:ascii="Arial" w:hAnsi="Arial" w:cs="Arial"/>
          <w:sz w:val="24"/>
          <w:szCs w:val="24"/>
          <w:lang w:val="en-US"/>
        </w:rPr>
        <w:t>.</w:t>
      </w:r>
      <w:r w:rsidR="00760C79"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"author" : [ { "dropping-particle" : "", "family" : "World Health Organization", "given" : "", "non-dropping-particle" : "", "parse-names" : false, "suffix" : "" } ], "container-title" : "2012", "id" : "ITEM-1", "issued" : { "date-parts" : [ [ "2012" ] ] }, "publisher-place" : "Geneva", "title" : "The evolving threat of antimicrobial resistance: Options for action", "type" : "report" }, "uris" : [ "http://www.mendeley.com/documents/?uuid=d7dc2532-070a-4f17-a252-61a578e46efa" ] } ], "mendeley" : { "formattedCitation" : "&lt;sup&gt;22&lt;/sup&gt;", "plainTextFormattedCitation" : "22", "previouslyFormattedCitation" : "&lt;sup&gt;23&lt;/sup&gt;" }, "properties" : { "noteIndex" : 0 }, "schema" : "https://github.com/citation-style-language/schema/raw/master/csl-citation.json" }</w:instrText>
      </w:r>
      <w:r w:rsidR="00760C79"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22</w:t>
      </w:r>
      <w:r w:rsidR="00760C79" w:rsidRPr="000767AE">
        <w:rPr>
          <w:rFonts w:ascii="Arial" w:hAnsi="Arial" w:cs="Arial"/>
          <w:sz w:val="24"/>
          <w:szCs w:val="24"/>
          <w:lang w:val="en-US"/>
        </w:rPr>
        <w:fldChar w:fldCharType="end"/>
      </w:r>
    </w:p>
    <w:p w14:paraId="441E5709" w14:textId="77777777" w:rsidR="00A053CE" w:rsidRPr="000767AE" w:rsidRDefault="00A053CE" w:rsidP="00A053CE">
      <w:pPr>
        <w:rPr>
          <w:rFonts w:ascii="Arial" w:hAnsi="Arial" w:cs="Arial"/>
          <w:sz w:val="24"/>
          <w:szCs w:val="24"/>
          <w:lang w:val="en-US"/>
        </w:rPr>
      </w:pPr>
    </w:p>
    <w:p w14:paraId="5AFDC57E" w14:textId="77777777" w:rsidR="00A053CE" w:rsidRPr="000767AE" w:rsidRDefault="002B017A" w:rsidP="00A053CE">
      <w:pPr>
        <w:pStyle w:val="Heading3"/>
        <w:spacing w:before="0"/>
        <w:rPr>
          <w:rFonts w:ascii="Arial" w:hAnsi="Arial"/>
          <w:i/>
          <w:lang w:eastAsia="en-GB"/>
        </w:rPr>
      </w:pPr>
      <w:r w:rsidRPr="000767AE">
        <w:rPr>
          <w:rFonts w:ascii="Arial" w:hAnsi="Arial"/>
          <w:i/>
          <w:lang w:eastAsia="en-GB"/>
        </w:rPr>
        <w:t>2</w:t>
      </w:r>
      <w:r w:rsidR="00A053CE" w:rsidRPr="000767AE">
        <w:rPr>
          <w:rFonts w:ascii="Arial" w:hAnsi="Arial"/>
          <w:i/>
          <w:lang w:eastAsia="en-GB"/>
        </w:rPr>
        <w:t>) How should antimicrobials be used to preserve effectiveness/delay resistance in animals?</w:t>
      </w:r>
    </w:p>
    <w:p w14:paraId="548E48B7" w14:textId="3473F4E9" w:rsidR="00A053CE" w:rsidRPr="000767AE" w:rsidRDefault="00917A2A" w:rsidP="00984997">
      <w:pPr>
        <w:rPr>
          <w:rFonts w:ascii="Arial" w:hAnsi="Arial" w:cs="Arial"/>
          <w:sz w:val="24"/>
          <w:szCs w:val="24"/>
          <w:lang w:val="en-US"/>
        </w:rPr>
      </w:pPr>
      <w:r w:rsidRPr="000767AE">
        <w:rPr>
          <w:rFonts w:ascii="Arial" w:hAnsi="Arial" w:cs="Arial"/>
          <w:sz w:val="24"/>
          <w:szCs w:val="24"/>
          <w:lang w:val="en-US"/>
        </w:rPr>
        <w:t xml:space="preserve">The evidence around reversibility of </w:t>
      </w:r>
      <w:r w:rsidR="0086741D" w:rsidRPr="000767AE">
        <w:rPr>
          <w:rFonts w:ascii="Arial" w:hAnsi="Arial" w:cs="Arial"/>
          <w:sz w:val="24"/>
          <w:szCs w:val="24"/>
          <w:lang w:val="en-US"/>
        </w:rPr>
        <w:t>AMR</w:t>
      </w:r>
      <w:r w:rsidRPr="000767AE">
        <w:rPr>
          <w:rFonts w:ascii="Arial" w:hAnsi="Arial" w:cs="Arial"/>
          <w:sz w:val="24"/>
          <w:szCs w:val="24"/>
          <w:lang w:val="en-US"/>
        </w:rPr>
        <w:t xml:space="preserve"> in the context of animal health </w:t>
      </w:r>
      <w:r w:rsidR="00C7153C" w:rsidRPr="000767AE">
        <w:rPr>
          <w:rFonts w:ascii="Arial" w:hAnsi="Arial" w:cs="Arial"/>
          <w:sz w:val="24"/>
          <w:szCs w:val="24"/>
          <w:lang w:val="en-US"/>
        </w:rPr>
        <w:t xml:space="preserve">has been noted as </w:t>
      </w:r>
      <w:r w:rsidR="002648E6" w:rsidRPr="000767AE">
        <w:rPr>
          <w:rFonts w:ascii="Arial" w:hAnsi="Arial" w:cs="Arial"/>
          <w:sz w:val="24"/>
          <w:szCs w:val="24"/>
          <w:lang w:val="en-US"/>
        </w:rPr>
        <w:t>complex</w:t>
      </w:r>
      <w:r w:rsidRPr="000767AE">
        <w:rPr>
          <w:rFonts w:ascii="Arial" w:hAnsi="Arial" w:cs="Arial"/>
          <w:sz w:val="24"/>
          <w:szCs w:val="24"/>
          <w:lang w:val="en-US"/>
        </w:rPr>
        <w:t xml:space="preserve"> (</w:t>
      </w:r>
      <w:r w:rsidRPr="000767AE">
        <w:rPr>
          <w:rFonts w:ascii="Arial" w:hAnsi="Arial" w:cs="Arial"/>
          <w:b/>
          <w:sz w:val="24"/>
          <w:szCs w:val="24"/>
          <w:lang w:val="en-US"/>
        </w:rPr>
        <w:t>Panel 1</w:t>
      </w:r>
      <w:r w:rsidRPr="000767AE">
        <w:rPr>
          <w:rFonts w:ascii="Arial" w:hAnsi="Arial" w:cs="Arial"/>
          <w:sz w:val="24"/>
          <w:szCs w:val="24"/>
          <w:lang w:val="en-US"/>
        </w:rPr>
        <w:t>)</w:t>
      </w:r>
      <w:r w:rsidR="005A7274" w:rsidRPr="000767AE">
        <w:rPr>
          <w:rFonts w:ascii="Arial" w:hAnsi="Arial" w:cs="Arial"/>
          <w:sz w:val="24"/>
          <w:szCs w:val="24"/>
          <w:lang w:val="en-US"/>
        </w:rPr>
        <w:t>;</w:t>
      </w:r>
      <w:r w:rsidRPr="000767AE">
        <w:rPr>
          <w:rFonts w:ascii="Arial" w:hAnsi="Arial" w:cs="Arial"/>
          <w:sz w:val="24"/>
          <w:szCs w:val="24"/>
          <w:lang w:val="en-US"/>
        </w:rPr>
        <w:t xml:space="preserve"> however </w:t>
      </w:r>
      <w:r w:rsidR="00B92EED" w:rsidRPr="000767AE">
        <w:rPr>
          <w:rFonts w:ascii="Arial" w:hAnsi="Arial" w:cs="Arial"/>
          <w:sz w:val="24"/>
          <w:szCs w:val="24"/>
          <w:lang w:val="en-US"/>
        </w:rPr>
        <w:t>three</w:t>
      </w:r>
      <w:r w:rsidRPr="000767AE">
        <w:rPr>
          <w:rFonts w:ascii="Arial" w:hAnsi="Arial" w:cs="Arial"/>
          <w:sz w:val="24"/>
          <w:szCs w:val="24"/>
          <w:lang w:val="en-US"/>
        </w:rPr>
        <w:t xml:space="preserve"> principles are clear. First, </w:t>
      </w:r>
      <w:r w:rsidR="004E36F0" w:rsidRPr="000767AE">
        <w:rPr>
          <w:rFonts w:ascii="Arial" w:hAnsi="Arial" w:cs="Arial"/>
          <w:sz w:val="24"/>
          <w:szCs w:val="24"/>
          <w:lang w:val="en-US"/>
        </w:rPr>
        <w:t xml:space="preserve">antimicrobials </w:t>
      </w:r>
      <w:r w:rsidR="00A053CE" w:rsidRPr="000767AE">
        <w:rPr>
          <w:rFonts w:ascii="Arial" w:hAnsi="Arial" w:cs="Arial"/>
          <w:sz w:val="24"/>
          <w:szCs w:val="24"/>
          <w:lang w:val="en-US"/>
        </w:rPr>
        <w:t xml:space="preserve">used as </w:t>
      </w:r>
      <w:r w:rsidRPr="000767AE">
        <w:rPr>
          <w:rFonts w:ascii="Arial" w:hAnsi="Arial" w:cs="Arial"/>
          <w:sz w:val="24"/>
          <w:szCs w:val="24"/>
          <w:lang w:val="en-US"/>
        </w:rPr>
        <w:t xml:space="preserve">animal </w:t>
      </w:r>
      <w:r w:rsidR="00A053CE" w:rsidRPr="000767AE">
        <w:rPr>
          <w:rFonts w:ascii="Arial" w:hAnsi="Arial" w:cs="Arial"/>
          <w:sz w:val="24"/>
          <w:szCs w:val="24"/>
          <w:lang w:val="en-US"/>
        </w:rPr>
        <w:t>growth promoter</w:t>
      </w:r>
      <w:r w:rsidRPr="000767AE">
        <w:rPr>
          <w:rFonts w:ascii="Arial" w:hAnsi="Arial" w:cs="Arial"/>
          <w:sz w:val="24"/>
          <w:szCs w:val="24"/>
          <w:lang w:val="en-US"/>
        </w:rPr>
        <w:t>s</w:t>
      </w:r>
      <w:r w:rsidR="00A053CE" w:rsidRPr="000767AE">
        <w:rPr>
          <w:rFonts w:ascii="Arial" w:hAnsi="Arial" w:cs="Arial"/>
          <w:sz w:val="24"/>
          <w:szCs w:val="24"/>
          <w:lang w:val="en-US"/>
        </w:rPr>
        <w:t xml:space="preserve"> </w:t>
      </w:r>
      <w:r w:rsidRPr="000767AE">
        <w:rPr>
          <w:rFonts w:ascii="Arial" w:hAnsi="Arial" w:cs="Arial"/>
          <w:sz w:val="24"/>
          <w:szCs w:val="24"/>
          <w:lang w:val="en-US"/>
        </w:rPr>
        <w:t>and for</w:t>
      </w:r>
      <w:r w:rsidR="00A053CE" w:rsidRPr="000767AE">
        <w:rPr>
          <w:rFonts w:ascii="Arial" w:hAnsi="Arial" w:cs="Arial"/>
          <w:sz w:val="24"/>
          <w:szCs w:val="24"/>
          <w:lang w:val="en-US"/>
        </w:rPr>
        <w:t xml:space="preserve"> inappropriate routine </w:t>
      </w:r>
      <w:r w:rsidR="008737BB" w:rsidRPr="000767AE">
        <w:rPr>
          <w:rFonts w:ascii="Arial" w:hAnsi="Arial" w:cs="Arial"/>
          <w:sz w:val="24"/>
          <w:szCs w:val="24"/>
          <w:lang w:val="en-US"/>
        </w:rPr>
        <w:t xml:space="preserve">infection </w:t>
      </w:r>
      <w:r w:rsidR="007E2CF6" w:rsidRPr="000767AE">
        <w:rPr>
          <w:rFonts w:ascii="Arial" w:hAnsi="Arial" w:cs="Arial"/>
          <w:sz w:val="24"/>
          <w:szCs w:val="24"/>
          <w:lang w:val="en-US"/>
        </w:rPr>
        <w:t xml:space="preserve">prevention in </w:t>
      </w:r>
      <w:r w:rsidRPr="000767AE">
        <w:rPr>
          <w:rFonts w:ascii="Arial" w:hAnsi="Arial" w:cs="Arial"/>
          <w:sz w:val="24"/>
          <w:szCs w:val="24"/>
          <w:lang w:val="en-US"/>
        </w:rPr>
        <w:t>herd</w:t>
      </w:r>
      <w:r w:rsidR="007E2CF6" w:rsidRPr="000767AE">
        <w:rPr>
          <w:rFonts w:ascii="Arial" w:hAnsi="Arial" w:cs="Arial"/>
          <w:sz w:val="24"/>
          <w:szCs w:val="24"/>
          <w:lang w:val="en-US"/>
        </w:rPr>
        <w:t>s</w:t>
      </w:r>
      <w:r w:rsidR="00A053CE" w:rsidRPr="000767AE">
        <w:rPr>
          <w:rFonts w:ascii="Arial" w:hAnsi="Arial" w:cs="Arial"/>
          <w:sz w:val="24"/>
          <w:szCs w:val="24"/>
          <w:lang w:val="en-US"/>
        </w:rPr>
        <w:t xml:space="preserve"> </w:t>
      </w:r>
      <w:r w:rsidRPr="000767AE">
        <w:rPr>
          <w:rFonts w:ascii="Arial" w:hAnsi="Arial" w:cs="Arial"/>
          <w:sz w:val="24"/>
          <w:szCs w:val="24"/>
          <w:lang w:val="en-US"/>
        </w:rPr>
        <w:t>should be</w:t>
      </w:r>
      <w:r w:rsidR="00A053CE" w:rsidRPr="000767AE">
        <w:rPr>
          <w:rFonts w:ascii="Arial" w:hAnsi="Arial" w:cs="Arial"/>
          <w:sz w:val="24"/>
          <w:szCs w:val="24"/>
          <w:lang w:val="en-US"/>
        </w:rPr>
        <w:t xml:space="preserve"> </w:t>
      </w:r>
      <w:r w:rsidR="0035605E" w:rsidRPr="000767AE">
        <w:rPr>
          <w:rFonts w:ascii="Arial" w:hAnsi="Arial" w:cs="Arial"/>
          <w:sz w:val="24"/>
          <w:szCs w:val="24"/>
          <w:lang w:val="en-US"/>
        </w:rPr>
        <w:t>banned</w:t>
      </w:r>
      <w:r w:rsidR="00A053CE" w:rsidRPr="000767AE">
        <w:rPr>
          <w:rFonts w:ascii="Arial" w:hAnsi="Arial" w:cs="Arial"/>
          <w:sz w:val="24"/>
          <w:szCs w:val="24"/>
          <w:lang w:val="en-US"/>
        </w:rPr>
        <w:t>.</w:t>
      </w:r>
      <w:r w:rsidR="0041598A" w:rsidRPr="000767AE">
        <w:rPr>
          <w:rFonts w:ascii="Arial" w:hAnsi="Arial" w:cs="Arial"/>
          <w:sz w:val="24"/>
          <w:szCs w:val="24"/>
          <w:lang w:val="en-US"/>
        </w:rPr>
        <w:t xml:space="preserve"> Second, a</w:t>
      </w:r>
      <w:r w:rsidR="00A053CE" w:rsidRPr="000767AE">
        <w:rPr>
          <w:rFonts w:ascii="Arial" w:hAnsi="Arial" w:cs="Arial"/>
          <w:sz w:val="24"/>
          <w:szCs w:val="24"/>
          <w:lang w:val="en-US"/>
        </w:rPr>
        <w:t xml:space="preserve">ccess to non-medicated animal feed for farmers </w:t>
      </w:r>
      <w:r w:rsidR="0041598A" w:rsidRPr="000767AE">
        <w:rPr>
          <w:rFonts w:ascii="Arial" w:hAnsi="Arial" w:cs="Arial"/>
          <w:sz w:val="24"/>
          <w:szCs w:val="24"/>
          <w:lang w:val="en-US"/>
        </w:rPr>
        <w:t>should</w:t>
      </w:r>
      <w:r w:rsidR="00A053CE" w:rsidRPr="000767AE">
        <w:rPr>
          <w:rFonts w:ascii="Arial" w:hAnsi="Arial" w:cs="Arial"/>
          <w:sz w:val="24"/>
          <w:szCs w:val="24"/>
          <w:lang w:val="en-US"/>
        </w:rPr>
        <w:t xml:space="preserve"> be improved. </w:t>
      </w:r>
      <w:r w:rsidR="0041598A" w:rsidRPr="000767AE">
        <w:rPr>
          <w:rFonts w:ascii="Arial" w:hAnsi="Arial" w:cs="Arial"/>
          <w:sz w:val="24"/>
          <w:szCs w:val="24"/>
          <w:lang w:val="en-US"/>
        </w:rPr>
        <w:t xml:space="preserve">Finally, </w:t>
      </w:r>
      <w:r w:rsidR="00A15E19" w:rsidRPr="000767AE">
        <w:rPr>
          <w:rFonts w:ascii="Arial" w:hAnsi="Arial" w:cs="Arial"/>
          <w:sz w:val="24"/>
          <w:szCs w:val="24"/>
          <w:lang w:val="en-US"/>
        </w:rPr>
        <w:t xml:space="preserve">use of </w:t>
      </w:r>
      <w:r w:rsidR="0041598A" w:rsidRPr="000767AE">
        <w:rPr>
          <w:rFonts w:ascii="Arial" w:hAnsi="Arial" w:cs="Arial"/>
          <w:sz w:val="24"/>
          <w:szCs w:val="24"/>
          <w:lang w:val="en-US"/>
        </w:rPr>
        <w:t>s</w:t>
      </w:r>
      <w:r w:rsidR="00A053CE" w:rsidRPr="000767AE">
        <w:rPr>
          <w:rFonts w:ascii="Arial" w:hAnsi="Arial" w:cs="Arial"/>
          <w:sz w:val="24"/>
          <w:szCs w:val="24"/>
          <w:lang w:val="en-US"/>
        </w:rPr>
        <w:t xml:space="preserve">pecific classes of antimicrobials should be </w:t>
      </w:r>
      <w:r w:rsidR="0041598A" w:rsidRPr="000767AE">
        <w:rPr>
          <w:rFonts w:ascii="Arial" w:hAnsi="Arial" w:cs="Arial"/>
          <w:sz w:val="24"/>
          <w:szCs w:val="24"/>
          <w:lang w:val="en-US"/>
        </w:rPr>
        <w:t xml:space="preserve">restricted to </w:t>
      </w:r>
      <w:r w:rsidR="00A053CE" w:rsidRPr="000767AE">
        <w:rPr>
          <w:rFonts w:ascii="Arial" w:hAnsi="Arial" w:cs="Arial"/>
          <w:sz w:val="24"/>
          <w:szCs w:val="24"/>
          <w:lang w:val="en-US"/>
        </w:rPr>
        <w:t>either humans or animals.</w:t>
      </w:r>
      <w:r w:rsidR="0081077D" w:rsidRPr="000767AE">
        <w:rPr>
          <w:rFonts w:ascii="Arial" w:hAnsi="Arial" w:cs="Arial"/>
          <w:sz w:val="24"/>
          <w:szCs w:val="24"/>
          <w:lang w:val="en-US"/>
        </w:rPr>
        <w:fldChar w:fldCharType="begin" w:fldLock="1"/>
      </w:r>
      <w:r w:rsidR="0081077D" w:rsidRPr="000767AE">
        <w:rPr>
          <w:rFonts w:ascii="Arial" w:hAnsi="Arial" w:cs="Arial"/>
          <w:sz w:val="24"/>
          <w:szCs w:val="24"/>
          <w:lang w:val="en-US"/>
        </w:rPr>
        <w:instrText>ADDIN CSL_CITATION { "citationItems" : [ { "id" : "ITEM-1", "itemData" : { "author" : [ { "dropping-particle" : "", "family" : "Ardal", "given" : "Christine", "non-dropping-particle" : "", "parse-names" : false, "suffix" : "" }, { "dropping-particle" : "", "family" : "Outerson", "given" : "Kevin", "non-dropping-particle" : "", "parse-names" : false, "suffix" : "" }, { "dropping-particle" : "", "family" : "Hoffman", "given" : "Steven J", "non-dropping-particle" : "", "parse-names" : false, "suffix" : "" }, { "dropping-particle" : "", "family" : "GHafur", "given" : "Abdul", "non-dropping-particle" : "", "parse-names" : false, "suffix" : "" }, { "dropping-particle" : "", "family" : "Sharland", "given" : "Mike", "non-dropping-particle" : "", "parse-names" : false, "suffix" : "" }, { "dropping-particle" : "", "family" : "Ranganathan", "given" : "NIsha", "non-dropping-particle" : "", "parse-names" : false, "suffix" : "" }, { "dropping-particle" : "", "family" : "Smith", "given" : "RIchard", "non-dropping-particle" : "", "parse-names" : false, "suffix" : "" }, { "dropping-particle" : "", "family" : "Zorzet", "given" : "Anna", "non-dropping-particle" : "", "parse-names" : false, "suffix" : "" }, { "dropping-particle" : "", "family" : "Sande", "given" : "Nienke", "non-dropping-particle" : "van de", "parse-names" : false, "suffix" : "" }, { "dropping-particle" : "", "family" : "Cohn", "given" : "Jennifer", "non-dropping-particle" : "", "parse-names" : false, "suffix" : "" }, { "dropping-particle" : "", "family" : "Pittet", "given" : "Didier", "non-dropping-particle" : "", "parse-names" : false, "suffix" : "" }, { "dropping-particle" : "", "family" : "Daulaire", "given" : "Nils", "non-dropping-particle" : "", "parse-names" : false, "suffix" : "" }, { "dropping-particle" : "", "family" : "Morel", "given" : "Chantal", "non-dropping-particle" : "", "parse-names" : false, "suffix" : "" }, { "dropping-particle" : "", "family" : "Rizvi", "given" : "Zain", "non-dropping-particle" : "", "parse-names" : false, "suffix" : "" }, { "dropping-particle" : "", "family" : "Rottengen", "given" : "John-Arne", "non-dropping-particle" : "", "parse-names" : false, "suffix" : "" } ], "container-title" : "The Lancet", "id" : "ITEM-1", "issued" : { "date-parts" : [ [ "2015" ] ] }, "page" : "[under review]", "title" : "Effective international collaboration to improve access to and sustain effectiveness of antimicrobials.", "type" : "article-journal" }, "uris" : [ "http://www.mendeley.com/documents/?uuid=d4c56356-2675-4255-8a6f-a9c2e63909f8" ] } ], "mendeley" : { "formattedCitation" : "&lt;sup&gt;4&lt;/sup&gt;", "plainTextFormattedCitation" : "4", "previouslyFormattedCitation" : "&lt;sup&gt;4&lt;/sup&gt;" }, "properties" : { "noteIndex" : 0 }, "schema" : "https://github.com/citation-style-language/schema/raw/master/csl-citation.json" }</w:instrText>
      </w:r>
      <w:r w:rsidR="0081077D" w:rsidRPr="000767AE">
        <w:rPr>
          <w:rFonts w:ascii="Arial" w:hAnsi="Arial" w:cs="Arial"/>
          <w:sz w:val="24"/>
          <w:szCs w:val="24"/>
          <w:lang w:val="en-US"/>
        </w:rPr>
        <w:fldChar w:fldCharType="separate"/>
      </w:r>
      <w:r w:rsidR="0081077D" w:rsidRPr="000767AE">
        <w:rPr>
          <w:rFonts w:ascii="Arial" w:hAnsi="Arial" w:cs="Arial"/>
          <w:noProof/>
          <w:sz w:val="24"/>
          <w:szCs w:val="24"/>
          <w:vertAlign w:val="superscript"/>
          <w:lang w:val="en-US"/>
        </w:rPr>
        <w:t>4</w:t>
      </w:r>
      <w:r w:rsidR="0081077D" w:rsidRPr="000767AE">
        <w:rPr>
          <w:rFonts w:ascii="Arial" w:hAnsi="Arial" w:cs="Arial"/>
          <w:sz w:val="24"/>
          <w:szCs w:val="24"/>
          <w:lang w:val="en-US"/>
        </w:rPr>
        <w:fldChar w:fldCharType="end"/>
      </w:r>
      <w:r w:rsidR="00A053CE" w:rsidRPr="000767AE">
        <w:rPr>
          <w:rFonts w:ascii="Arial" w:hAnsi="Arial" w:cs="Arial"/>
          <w:sz w:val="24"/>
          <w:szCs w:val="24"/>
          <w:lang w:val="en-US"/>
        </w:rPr>
        <w:t xml:space="preserve"> </w:t>
      </w:r>
    </w:p>
    <w:p w14:paraId="71887B6E" w14:textId="77777777" w:rsidR="00A053CE" w:rsidRPr="000767AE" w:rsidRDefault="00A053CE" w:rsidP="00A053CE">
      <w:pPr>
        <w:rPr>
          <w:rFonts w:ascii="Arial" w:hAnsi="Arial" w:cs="Arial"/>
          <w:sz w:val="24"/>
          <w:szCs w:val="24"/>
          <w:lang w:val="en-US"/>
        </w:rPr>
      </w:pPr>
    </w:p>
    <w:p w14:paraId="07FFEC0E" w14:textId="171870F6" w:rsidR="00D30AFB" w:rsidRPr="000767AE" w:rsidRDefault="00D30AFB" w:rsidP="00D30AFB">
      <w:pPr>
        <w:rPr>
          <w:rFonts w:ascii="Arial" w:hAnsi="Arial" w:cs="Arial"/>
          <w:sz w:val="24"/>
          <w:szCs w:val="24"/>
          <w:lang w:val="en-US"/>
        </w:rPr>
      </w:pPr>
      <w:r w:rsidRPr="000767AE">
        <w:rPr>
          <w:rFonts w:ascii="Arial" w:hAnsi="Arial" w:cs="Arial"/>
          <w:sz w:val="24"/>
          <w:szCs w:val="24"/>
          <w:lang w:val="en-US"/>
        </w:rPr>
        <w:t xml:space="preserve">Approaches to optimising antimicrobial use in both human and animal health must be integrated </w:t>
      </w:r>
      <w:r w:rsidR="00E169CA" w:rsidRPr="000767AE">
        <w:rPr>
          <w:rFonts w:ascii="Arial" w:hAnsi="Arial" w:cs="Arial"/>
          <w:sz w:val="24"/>
          <w:szCs w:val="24"/>
          <w:lang w:val="en-US"/>
        </w:rPr>
        <w:t xml:space="preserve">and coordinated, </w:t>
      </w:r>
      <w:r w:rsidRPr="000767AE">
        <w:rPr>
          <w:rFonts w:ascii="Arial" w:hAnsi="Arial" w:cs="Arial"/>
          <w:sz w:val="24"/>
          <w:szCs w:val="24"/>
          <w:lang w:val="en-US"/>
        </w:rPr>
        <w:t>with</w:t>
      </w:r>
      <w:r w:rsidR="002F120E" w:rsidRPr="000767AE">
        <w:rPr>
          <w:rFonts w:ascii="Arial" w:hAnsi="Arial" w:cs="Arial"/>
          <w:sz w:val="24"/>
          <w:szCs w:val="24"/>
          <w:lang w:val="en-US"/>
        </w:rPr>
        <w:t xml:space="preserve"> shared learning</w:t>
      </w:r>
      <w:r w:rsidR="00E169CA" w:rsidRPr="000767AE">
        <w:rPr>
          <w:rFonts w:ascii="Arial" w:hAnsi="Arial" w:cs="Arial"/>
          <w:sz w:val="24"/>
          <w:szCs w:val="24"/>
          <w:lang w:val="en-US"/>
        </w:rPr>
        <w:t>,</w:t>
      </w:r>
      <w:r w:rsidR="002F120E" w:rsidRPr="000767AE">
        <w:rPr>
          <w:rFonts w:ascii="Arial" w:hAnsi="Arial" w:cs="Arial"/>
          <w:sz w:val="24"/>
          <w:szCs w:val="24"/>
          <w:lang w:val="en-US"/>
        </w:rPr>
        <w:t xml:space="preserve"> understanding and involvement in </w:t>
      </w:r>
      <w:r w:rsidR="00CF6C59" w:rsidRPr="000767AE">
        <w:rPr>
          <w:rFonts w:ascii="Arial" w:hAnsi="Arial" w:cs="Arial"/>
          <w:sz w:val="24"/>
          <w:szCs w:val="24"/>
          <w:lang w:val="en-US"/>
        </w:rPr>
        <w:t>environmental interventions</w:t>
      </w:r>
      <w:r w:rsidRPr="000767AE">
        <w:rPr>
          <w:rFonts w:ascii="Arial" w:hAnsi="Arial" w:cs="Arial"/>
          <w:sz w:val="24"/>
          <w:szCs w:val="24"/>
          <w:lang w:val="en-US"/>
        </w:rPr>
        <w:t xml:space="preserve">. </w:t>
      </w:r>
      <w:r w:rsidR="00CF6C59" w:rsidRPr="000767AE">
        <w:rPr>
          <w:rFonts w:ascii="Arial" w:hAnsi="Arial" w:cs="Arial"/>
          <w:sz w:val="24"/>
          <w:szCs w:val="24"/>
          <w:lang w:val="en-US"/>
        </w:rPr>
        <w:t>S</w:t>
      </w:r>
      <w:r w:rsidRPr="000767AE">
        <w:rPr>
          <w:rFonts w:ascii="Arial" w:hAnsi="Arial" w:cs="Arial"/>
          <w:sz w:val="24"/>
          <w:szCs w:val="24"/>
          <w:lang w:val="en-US"/>
        </w:rPr>
        <w:t xml:space="preserve">uch a </w:t>
      </w:r>
      <w:r w:rsidR="00FA5327" w:rsidRPr="000767AE">
        <w:rPr>
          <w:rFonts w:ascii="Arial" w:hAnsi="Arial" w:cs="Arial"/>
          <w:sz w:val="24"/>
          <w:szCs w:val="24"/>
          <w:lang w:val="en-US"/>
        </w:rPr>
        <w:t>“</w:t>
      </w:r>
      <w:r w:rsidRPr="000767AE">
        <w:rPr>
          <w:rFonts w:ascii="Arial" w:hAnsi="Arial" w:cs="Arial"/>
          <w:sz w:val="24"/>
          <w:szCs w:val="24"/>
          <w:lang w:val="en-US"/>
        </w:rPr>
        <w:t>One Health</w:t>
      </w:r>
      <w:r w:rsidR="00FA5327" w:rsidRPr="000767AE">
        <w:rPr>
          <w:rFonts w:ascii="Arial" w:hAnsi="Arial" w:cs="Arial"/>
          <w:sz w:val="24"/>
          <w:szCs w:val="24"/>
          <w:lang w:val="en-US"/>
        </w:rPr>
        <w:t>”</w:t>
      </w:r>
      <w:r w:rsidRPr="000767AE">
        <w:rPr>
          <w:rFonts w:ascii="Arial" w:hAnsi="Arial" w:cs="Arial"/>
          <w:sz w:val="24"/>
          <w:szCs w:val="24"/>
          <w:lang w:val="en-US"/>
        </w:rPr>
        <w:t xml:space="preserve"> approach, inte</w:t>
      </w:r>
      <w:r w:rsidR="00CF6C59" w:rsidRPr="000767AE">
        <w:rPr>
          <w:rFonts w:ascii="Arial" w:hAnsi="Arial" w:cs="Arial"/>
          <w:sz w:val="24"/>
          <w:szCs w:val="24"/>
          <w:lang w:val="en-US"/>
        </w:rPr>
        <w:t xml:space="preserve">grating human medicine, veterinary medicine, public health and environmental science in </w:t>
      </w:r>
      <w:r w:rsidR="00E169CA" w:rsidRPr="000767AE">
        <w:rPr>
          <w:rFonts w:ascii="Arial" w:hAnsi="Arial" w:cs="Arial"/>
          <w:sz w:val="24"/>
          <w:szCs w:val="24"/>
          <w:lang w:val="en-US"/>
        </w:rPr>
        <w:t xml:space="preserve">fields </w:t>
      </w:r>
      <w:r w:rsidR="00CF6C59" w:rsidRPr="000767AE">
        <w:rPr>
          <w:rFonts w:ascii="Arial" w:hAnsi="Arial" w:cs="Arial"/>
          <w:sz w:val="24"/>
          <w:szCs w:val="24"/>
          <w:lang w:val="en-US"/>
        </w:rPr>
        <w:t xml:space="preserve">including surveillance, development </w:t>
      </w:r>
      <w:r w:rsidR="00B75BA7" w:rsidRPr="000767AE">
        <w:rPr>
          <w:rFonts w:ascii="Arial" w:hAnsi="Arial" w:cs="Arial"/>
          <w:sz w:val="24"/>
          <w:szCs w:val="24"/>
          <w:lang w:val="en-US"/>
        </w:rPr>
        <w:t xml:space="preserve">of </w:t>
      </w:r>
      <w:r w:rsidR="00CF6C59" w:rsidRPr="000767AE">
        <w:rPr>
          <w:rFonts w:ascii="Arial" w:hAnsi="Arial" w:cs="Arial"/>
          <w:sz w:val="24"/>
          <w:szCs w:val="24"/>
          <w:lang w:val="en-US"/>
        </w:rPr>
        <w:t>new diagnostics and therapeutics,</w:t>
      </w:r>
      <w:r w:rsidR="00E169CA" w:rsidRPr="000767AE">
        <w:rPr>
          <w:rFonts w:ascii="Arial" w:hAnsi="Arial" w:cs="Arial"/>
          <w:sz w:val="24"/>
          <w:szCs w:val="24"/>
          <w:lang w:val="en-US"/>
        </w:rPr>
        <w:t xml:space="preserve"> </w:t>
      </w:r>
      <w:r w:rsidR="00B231A6" w:rsidRPr="000767AE">
        <w:rPr>
          <w:rFonts w:ascii="Arial" w:hAnsi="Arial" w:cs="Arial"/>
          <w:sz w:val="24"/>
          <w:szCs w:val="24"/>
          <w:lang w:val="en-US"/>
        </w:rPr>
        <w:t>interlinking</w:t>
      </w:r>
      <w:r w:rsidR="00E169CA" w:rsidRPr="000767AE">
        <w:rPr>
          <w:rFonts w:ascii="Arial" w:hAnsi="Arial" w:cs="Arial"/>
          <w:sz w:val="24"/>
          <w:szCs w:val="24"/>
          <w:lang w:val="en-US"/>
        </w:rPr>
        <w:t xml:space="preserve"> </w:t>
      </w:r>
      <w:r w:rsidR="002F120E" w:rsidRPr="000767AE">
        <w:rPr>
          <w:rFonts w:ascii="Arial" w:hAnsi="Arial" w:cs="Arial"/>
          <w:sz w:val="24"/>
          <w:szCs w:val="24"/>
          <w:lang w:val="en-US"/>
        </w:rPr>
        <w:t xml:space="preserve">research </w:t>
      </w:r>
      <w:r w:rsidR="00CF6C59" w:rsidRPr="000767AE">
        <w:rPr>
          <w:rFonts w:ascii="Arial" w:hAnsi="Arial" w:cs="Arial"/>
          <w:sz w:val="24"/>
          <w:szCs w:val="24"/>
          <w:lang w:val="en-US"/>
        </w:rPr>
        <w:t>and education</w:t>
      </w:r>
      <w:r w:rsidR="00B75BA7" w:rsidRPr="000767AE">
        <w:rPr>
          <w:rFonts w:ascii="Arial" w:hAnsi="Arial" w:cs="Arial"/>
          <w:sz w:val="24"/>
          <w:szCs w:val="24"/>
          <w:lang w:val="en-US"/>
        </w:rPr>
        <w:t>,</w:t>
      </w:r>
      <w:r w:rsidR="00CF6C59" w:rsidRPr="000767AE">
        <w:rPr>
          <w:rFonts w:ascii="Arial" w:hAnsi="Arial" w:cs="Arial"/>
          <w:sz w:val="24"/>
          <w:szCs w:val="24"/>
          <w:lang w:val="en-US"/>
        </w:rPr>
        <w:t xml:space="preserve"> should enable creation and implementation of </w:t>
      </w:r>
      <w:r w:rsidR="00B231A6" w:rsidRPr="000767AE">
        <w:rPr>
          <w:rFonts w:ascii="Arial" w:hAnsi="Arial" w:cs="Arial"/>
          <w:sz w:val="24"/>
          <w:szCs w:val="24"/>
          <w:lang w:val="en-US"/>
        </w:rPr>
        <w:t xml:space="preserve">more comprehensive and </w:t>
      </w:r>
      <w:r w:rsidR="00CF6C59" w:rsidRPr="000767AE">
        <w:rPr>
          <w:rFonts w:ascii="Arial" w:hAnsi="Arial" w:cs="Arial"/>
          <w:sz w:val="24"/>
          <w:szCs w:val="24"/>
          <w:lang w:val="en-US"/>
        </w:rPr>
        <w:t>effective policies.</w:t>
      </w:r>
      <w:r w:rsidR="00B75BA7" w:rsidRPr="000767AE">
        <w:rPr>
          <w:rFonts w:ascii="Arial" w:hAnsi="Arial" w:cs="Arial"/>
          <w:sz w:val="24"/>
          <w:szCs w:val="24"/>
          <w:lang w:val="en-US"/>
        </w:rPr>
        <w:t xml:space="preserve"> Coordinated action and application of these </w:t>
      </w:r>
      <w:r w:rsidR="00FA5327" w:rsidRPr="000767AE">
        <w:rPr>
          <w:rFonts w:ascii="Arial" w:hAnsi="Arial" w:cs="Arial"/>
          <w:sz w:val="24"/>
          <w:szCs w:val="24"/>
          <w:lang w:val="en-US"/>
        </w:rPr>
        <w:t>may</w:t>
      </w:r>
      <w:r w:rsidR="00B75BA7" w:rsidRPr="000767AE">
        <w:rPr>
          <w:rFonts w:ascii="Arial" w:hAnsi="Arial" w:cs="Arial"/>
          <w:sz w:val="24"/>
          <w:szCs w:val="24"/>
          <w:lang w:val="en-US"/>
        </w:rPr>
        <w:t xml:space="preserve"> prolong the therapeutic life of current antimicrobials, and should be a high priority for all.</w:t>
      </w:r>
    </w:p>
    <w:p w14:paraId="681F594C" w14:textId="77777777" w:rsidR="00D30AFB" w:rsidRPr="000767AE" w:rsidRDefault="00D30AFB" w:rsidP="00A053CE">
      <w:pPr>
        <w:rPr>
          <w:rFonts w:ascii="Arial" w:hAnsi="Arial" w:cs="Arial"/>
          <w:sz w:val="24"/>
          <w:szCs w:val="24"/>
          <w:lang w:val="en-US"/>
        </w:rPr>
      </w:pPr>
    </w:p>
    <w:p w14:paraId="0D9A091B" w14:textId="77777777" w:rsidR="00D30AFB" w:rsidRPr="000767AE" w:rsidRDefault="00D30AFB" w:rsidP="00A053CE">
      <w:pPr>
        <w:pStyle w:val="Heading2"/>
        <w:spacing w:before="0"/>
        <w:rPr>
          <w:rFonts w:ascii="Arial" w:hAnsi="Arial"/>
          <w:b/>
          <w:sz w:val="24"/>
        </w:rPr>
      </w:pPr>
    </w:p>
    <w:p w14:paraId="7EB61832" w14:textId="77777777" w:rsidR="00A053CE" w:rsidRPr="000767AE" w:rsidRDefault="00A053CE" w:rsidP="00A053CE">
      <w:pPr>
        <w:pStyle w:val="Heading2"/>
        <w:spacing w:before="0"/>
        <w:rPr>
          <w:rFonts w:ascii="Arial" w:hAnsi="Arial"/>
          <w:b/>
          <w:sz w:val="24"/>
        </w:rPr>
      </w:pPr>
      <w:r w:rsidRPr="000767AE">
        <w:rPr>
          <w:rFonts w:ascii="Arial" w:hAnsi="Arial"/>
          <w:b/>
          <w:sz w:val="24"/>
        </w:rPr>
        <w:t>What are gaps in understanding that need addressing?</w:t>
      </w:r>
    </w:p>
    <w:p w14:paraId="2ACB268F" w14:textId="77777777" w:rsidR="00A053CE" w:rsidRPr="000767AE" w:rsidRDefault="00A053CE" w:rsidP="00A053CE"/>
    <w:p w14:paraId="4E93011C" w14:textId="7879CF9D" w:rsidR="00A053CE" w:rsidRPr="000767AE" w:rsidRDefault="00A053CE" w:rsidP="00A053CE">
      <w:pPr>
        <w:rPr>
          <w:rFonts w:ascii="Arial" w:hAnsi="Arial" w:cs="Arial"/>
          <w:sz w:val="24"/>
          <w:szCs w:val="24"/>
          <w:lang w:val="en-US"/>
        </w:rPr>
      </w:pPr>
      <w:r w:rsidRPr="000767AE">
        <w:rPr>
          <w:rFonts w:ascii="Arial" w:hAnsi="Arial" w:cs="Arial"/>
          <w:sz w:val="24"/>
          <w:szCs w:val="24"/>
          <w:lang w:val="en-US"/>
        </w:rPr>
        <w:t>The need to address the research gaps in AMR has never been more keenly felt. However, identifying priorities, increasing the research funding</w:t>
      </w:r>
      <w:r w:rsidR="00200BAD" w:rsidRPr="000767AE">
        <w:rPr>
          <w:rFonts w:ascii="Arial" w:hAnsi="Arial" w:cs="Arial"/>
          <w:sz w:val="24"/>
          <w:szCs w:val="24"/>
          <w:lang w:val="en-US"/>
        </w:rPr>
        <w:t>,</w:t>
      </w:r>
      <w:r w:rsidRPr="000767AE">
        <w:rPr>
          <w:rFonts w:ascii="Arial" w:hAnsi="Arial" w:cs="Arial"/>
          <w:sz w:val="24"/>
          <w:szCs w:val="24"/>
          <w:lang w:val="en-US"/>
        </w:rPr>
        <w:t xml:space="preserve"> and targeting research activity should be coordinated and cohesively addressed. The construction of a global database of previous and current AMR projects has been advocated</w:t>
      </w:r>
      <w:r w:rsidR="0086741D" w:rsidRPr="000767AE">
        <w:rPr>
          <w:rFonts w:ascii="Arial" w:hAnsi="Arial" w:cs="Arial"/>
          <w:sz w:val="24"/>
          <w:szCs w:val="24"/>
          <w:lang w:val="en-US"/>
        </w:rPr>
        <w:t>,</w:t>
      </w:r>
      <w:r w:rsidRPr="000767AE">
        <w:rPr>
          <w:rFonts w:ascii="Arial" w:hAnsi="Arial"/>
          <w:noProof/>
          <w:sz w:val="24"/>
          <w:vertAlign w:val="superscript"/>
          <w:lang w:val="en-US"/>
        </w:rPr>
        <w:fldChar w:fldCharType="begin" w:fldLock="1"/>
      </w:r>
      <w:r w:rsidR="009E0BAE">
        <w:rPr>
          <w:rFonts w:ascii="Arial" w:hAnsi="Arial"/>
          <w:noProof/>
          <w:sz w:val="24"/>
          <w:vertAlign w:val="superscript"/>
          <w:lang w:val="en-US"/>
        </w:rPr>
        <w:instrText>ADDIN CSL_CITATION { "citationItems" : [ { "id" : "ITEM-1", "itemData" : { "DOI" : "10.1093/jac/dkt349", "ISSN" : "1460-2091", "PMID" : "24038777", "abstract" : "OBJECTIVES: To assess the level of research funding awarded to UK institutions specifically for antimicrobial resistance-related research and how closely the topics funded relate to the clinical and public health burden of resistance. METHODS: Databases and web sites were systematically searched for information on how infectious disease research studies were funded for the period 1997-2010. Studies specifically related to antimicrobial resistance, including bacteriology, virology, mycology and parasitology research, were identified and categorized in terms of funding by pathogen and disease and by a research and development value chain describing the type of science. RESULTS: The overall dataset included 6165 studies receiving a total investment of \u00a32.6 billion, of which \u00a3102 million was directed towards antimicrobial resistance research (5.5% of total studies, 3.9% of total spend). Of 337 resistance-related projects, 175 studies focused on bacteriology (40.2% of total resistance-related spending), 42 focused on antiviral resistance (17.2% of funding) and 51 focused on parasitology (27.4% of funding). Mean annual funding ranged from \u00a31.9 million in 1997 to \u00a322.1 million in 2009. CONCLUSIONS: Despite the fact that the emergence of antimicrobial resistance threatens our future ability to treat many infections, the proportion of the UK infection-research spend targeting this important area is small. There are encouraging signs of increased investment in this area, but it is important that this is sustained and targeted at areas of projected greatest burden. Two areas of particular concern requiring more investment are tuberculosis and multidrug-resistant Gram-negative bacteria.", "author" : [ { "dropping-particle" : "", "family" : "Head", "given" : "Michael G", "non-dropping-particle" : "", "parse-names" : false, "suffix" : "" }, { "dropping-particle" : "", "family" : "Fitchett", "given" : "Joseph R", "non-dropping-particle" : "", "parse-names" : false, "suffix" : "" }, { "dropping-particle" : "", "family" : "Cooke", "given" : "Mary K", "non-dropping-particle" : "", "parse-names" : false, "suffix" : "" }, { "dropping-particle" : "", "family" : "Wurie", "given" : "Fatima B", "non-dropping-particle" : "", "parse-names" : false, "suffix" : "" }, { "dropping-particle" : "", "family" : "Atun", "given" : "Rifat", "non-dropping-particle" : "", "parse-names" : false, "suffix" : "" }, { "dropping-particle" : "", "family" : "Hayward", "given" : "Andrew C", "non-dropping-particle" : "", "parse-names" : false, "suffix" : "" }, { "dropping-particle" : "", "family" : "Holmes", "given" : "Alison", "non-dropping-particle" : "", "parse-names" : false, "suffix" : "" }, { "dropping-particle" : "", "family" : "Johnson", "given" : "Alan P", "non-dropping-particle" : "", "parse-names" : false, "suffix" : "" }, { "dropping-particle" : "", "family" : "Woodford", "given" : "Neil", "non-dropping-particle" : "", "parse-names" : false, "suffix" : "" } ], "container-title" : "Journal of Antimicrobial Chemotherapy", "id" : "ITEM-1", "issue" : "2", "issued" : { "date-parts" : [ [ "2014", "2" ] ] }, "page" : "548-54", "title" : "Systematic analysis of funding awarded for antimicrobial resistance research to institutions in the UK, 1997-2010.", "type" : "article-journal", "volume" : "69" }, "uris" : [ "http://www.mendeley.com/documents/?uuid=79bd8092-deaa-4b8a-b31a-6c18146d0ea3" ] } ], "mendeley" : { "formattedCitation" : "&lt;sup&gt;92&lt;/sup&gt;", "plainTextFormattedCitation" : "92", "previouslyFormattedCitation" : "&lt;sup&gt;93&lt;/sup&gt;" }, "properties" : { "noteIndex" : 0 }, "schema" : "https://github.com/citation-style-language/schema/raw/master/csl-citation.json" }</w:instrText>
      </w:r>
      <w:r w:rsidRPr="000767AE">
        <w:rPr>
          <w:rFonts w:ascii="Arial" w:hAnsi="Arial"/>
          <w:noProof/>
          <w:sz w:val="24"/>
          <w:vertAlign w:val="superscript"/>
          <w:lang w:val="en-US"/>
        </w:rPr>
        <w:fldChar w:fldCharType="separate"/>
      </w:r>
      <w:r w:rsidR="009E0BAE" w:rsidRPr="009E0BAE">
        <w:rPr>
          <w:rFonts w:ascii="Arial" w:hAnsi="Arial"/>
          <w:noProof/>
          <w:sz w:val="24"/>
          <w:vertAlign w:val="superscript"/>
          <w:lang w:val="en-US"/>
        </w:rPr>
        <w:t>92</w:t>
      </w:r>
      <w:r w:rsidRPr="000767AE">
        <w:rPr>
          <w:rFonts w:ascii="Arial" w:hAnsi="Arial"/>
          <w:noProof/>
          <w:sz w:val="24"/>
          <w:vertAlign w:val="superscript"/>
          <w:lang w:val="en-US"/>
        </w:rPr>
        <w:fldChar w:fldCharType="end"/>
      </w:r>
      <w:r w:rsidRPr="000767AE">
        <w:rPr>
          <w:rFonts w:ascii="Arial" w:hAnsi="Arial" w:cs="Arial"/>
          <w:sz w:val="24"/>
          <w:szCs w:val="24"/>
          <w:lang w:val="en-US"/>
        </w:rPr>
        <w:t xml:space="preserve"> </w:t>
      </w:r>
      <w:r w:rsidR="0086741D" w:rsidRPr="000767AE">
        <w:rPr>
          <w:rFonts w:ascii="Arial" w:hAnsi="Arial" w:cs="Arial"/>
          <w:sz w:val="24"/>
          <w:szCs w:val="24"/>
          <w:lang w:val="en-US"/>
        </w:rPr>
        <w:t xml:space="preserve">but irrespective </w:t>
      </w:r>
      <w:r w:rsidRPr="000767AE">
        <w:rPr>
          <w:rFonts w:ascii="Arial" w:hAnsi="Arial" w:cs="Arial"/>
          <w:sz w:val="24"/>
          <w:szCs w:val="24"/>
          <w:lang w:val="en-US"/>
        </w:rPr>
        <w:t xml:space="preserve">several </w:t>
      </w:r>
      <w:r w:rsidR="007953C1" w:rsidRPr="000767AE">
        <w:rPr>
          <w:rFonts w:ascii="Arial" w:hAnsi="Arial" w:cs="Arial"/>
          <w:sz w:val="24"/>
          <w:szCs w:val="24"/>
          <w:lang w:val="en-US"/>
        </w:rPr>
        <w:t>areas</w:t>
      </w:r>
      <w:r w:rsidRPr="000767AE">
        <w:rPr>
          <w:rFonts w:ascii="Arial" w:hAnsi="Arial" w:cs="Arial"/>
          <w:sz w:val="24"/>
          <w:szCs w:val="24"/>
          <w:lang w:val="en-US"/>
        </w:rPr>
        <w:t xml:space="preserve"> have particular priority.</w:t>
      </w:r>
    </w:p>
    <w:p w14:paraId="789E5BBF" w14:textId="77777777" w:rsidR="00A053CE" w:rsidRPr="000767AE" w:rsidRDefault="00A053CE" w:rsidP="00A053CE">
      <w:pPr>
        <w:rPr>
          <w:rFonts w:ascii="Arial" w:hAnsi="Arial" w:cs="Arial"/>
          <w:sz w:val="24"/>
          <w:szCs w:val="24"/>
          <w:lang w:val="en-US"/>
        </w:rPr>
      </w:pPr>
    </w:p>
    <w:p w14:paraId="6E32A0A6" w14:textId="2965EB3D" w:rsidR="00A053CE" w:rsidRPr="000767AE" w:rsidRDefault="00953A4F" w:rsidP="00A053CE">
      <w:pPr>
        <w:rPr>
          <w:rFonts w:ascii="Arial" w:hAnsi="Arial" w:cs="Arial"/>
          <w:sz w:val="24"/>
          <w:szCs w:val="24"/>
          <w:lang w:val="en-US"/>
        </w:rPr>
      </w:pPr>
      <w:r w:rsidRPr="000767AE">
        <w:rPr>
          <w:rFonts w:ascii="Arial" w:hAnsi="Arial" w:cs="Arial"/>
          <w:sz w:val="24"/>
          <w:szCs w:val="24"/>
          <w:lang w:val="en-US"/>
        </w:rPr>
        <w:lastRenderedPageBreak/>
        <w:t>First</w:t>
      </w:r>
      <w:r w:rsidR="00A32FE8" w:rsidRPr="000767AE">
        <w:rPr>
          <w:rFonts w:ascii="Arial" w:hAnsi="Arial" w:cs="Arial"/>
          <w:sz w:val="24"/>
          <w:szCs w:val="24"/>
          <w:lang w:val="en-US"/>
        </w:rPr>
        <w:t>,</w:t>
      </w:r>
      <w:r w:rsidRPr="000767AE">
        <w:rPr>
          <w:rFonts w:ascii="Arial" w:hAnsi="Arial" w:cs="Arial"/>
          <w:sz w:val="24"/>
          <w:szCs w:val="24"/>
          <w:lang w:val="en-US"/>
        </w:rPr>
        <w:t xml:space="preserve"> </w:t>
      </w:r>
      <w:r w:rsidR="00A053CE" w:rsidRPr="000767AE">
        <w:rPr>
          <w:rFonts w:ascii="Arial" w:hAnsi="Arial" w:cs="Arial"/>
          <w:sz w:val="24"/>
          <w:szCs w:val="24"/>
          <w:lang w:val="en-US"/>
        </w:rPr>
        <w:t>understanding h</w:t>
      </w:r>
      <w:r w:rsidR="00D90875" w:rsidRPr="000767AE">
        <w:rPr>
          <w:rFonts w:ascii="Arial" w:hAnsi="Arial" w:cs="Arial"/>
          <w:sz w:val="24"/>
          <w:szCs w:val="24"/>
          <w:lang w:val="en-US"/>
        </w:rPr>
        <w:t>ow to minimis</w:t>
      </w:r>
      <w:r w:rsidR="00A053CE" w:rsidRPr="000767AE">
        <w:rPr>
          <w:rFonts w:ascii="Arial" w:hAnsi="Arial" w:cs="Arial"/>
          <w:sz w:val="24"/>
          <w:szCs w:val="24"/>
          <w:lang w:val="en-US"/>
        </w:rPr>
        <w:t xml:space="preserve">e the selection of </w:t>
      </w:r>
      <w:r w:rsidR="003008F7" w:rsidRPr="000767AE">
        <w:rPr>
          <w:rFonts w:ascii="Arial" w:hAnsi="Arial" w:cs="Arial"/>
          <w:sz w:val="24"/>
          <w:szCs w:val="24"/>
          <w:lang w:val="en-US"/>
        </w:rPr>
        <w:t xml:space="preserve">AMR </w:t>
      </w:r>
      <w:r w:rsidR="008818C8" w:rsidRPr="000767AE">
        <w:rPr>
          <w:rFonts w:ascii="Arial" w:hAnsi="Arial" w:cs="Arial"/>
          <w:sz w:val="24"/>
          <w:szCs w:val="24"/>
          <w:lang w:val="en-US"/>
        </w:rPr>
        <w:t>is fundamental</w:t>
      </w:r>
      <w:r w:rsidR="003008F7" w:rsidRPr="000767AE">
        <w:rPr>
          <w:rFonts w:ascii="Arial" w:hAnsi="Arial" w:cs="Arial"/>
          <w:sz w:val="24"/>
          <w:szCs w:val="24"/>
          <w:lang w:val="en-US"/>
        </w:rPr>
        <w:t xml:space="preserve">, </w:t>
      </w:r>
      <w:r w:rsidR="008818C8" w:rsidRPr="000767AE">
        <w:rPr>
          <w:rFonts w:ascii="Arial" w:hAnsi="Arial" w:cs="Arial"/>
          <w:sz w:val="24"/>
          <w:szCs w:val="24"/>
          <w:lang w:val="en-US"/>
        </w:rPr>
        <w:t>includ</w:t>
      </w:r>
      <w:r w:rsidR="003008F7" w:rsidRPr="000767AE">
        <w:rPr>
          <w:rFonts w:ascii="Arial" w:hAnsi="Arial" w:cs="Arial"/>
          <w:sz w:val="24"/>
          <w:szCs w:val="24"/>
          <w:lang w:val="en-US"/>
        </w:rPr>
        <w:t>ing</w:t>
      </w:r>
      <w:r w:rsidR="008818C8" w:rsidRPr="000767AE">
        <w:rPr>
          <w:rFonts w:ascii="Arial" w:hAnsi="Arial" w:cs="Arial"/>
          <w:sz w:val="24"/>
          <w:szCs w:val="24"/>
          <w:lang w:val="en-US"/>
        </w:rPr>
        <w:t xml:space="preserve"> u</w:t>
      </w:r>
      <w:r w:rsidR="00A053CE" w:rsidRPr="000767AE">
        <w:rPr>
          <w:rFonts w:ascii="Arial" w:hAnsi="Arial" w:cs="Arial"/>
          <w:sz w:val="24"/>
          <w:szCs w:val="24"/>
          <w:lang w:val="en-US"/>
        </w:rPr>
        <w:t xml:space="preserve">nderstanding how </w:t>
      </w:r>
      <w:r w:rsidR="00CE4C80" w:rsidRPr="000767AE">
        <w:rPr>
          <w:rFonts w:ascii="Arial" w:hAnsi="Arial" w:cs="Arial"/>
          <w:sz w:val="24"/>
          <w:szCs w:val="24"/>
          <w:lang w:val="en-US"/>
        </w:rPr>
        <w:t xml:space="preserve">to optimize </w:t>
      </w:r>
      <w:r w:rsidR="00A053CE" w:rsidRPr="000767AE">
        <w:rPr>
          <w:rFonts w:ascii="Arial" w:hAnsi="Arial" w:cs="Arial"/>
          <w:sz w:val="24"/>
          <w:szCs w:val="24"/>
          <w:lang w:val="en-US"/>
        </w:rPr>
        <w:t xml:space="preserve">antimicrobial use. This requires detailed analysis </w:t>
      </w:r>
      <w:r w:rsidR="007E2CF6" w:rsidRPr="000767AE">
        <w:rPr>
          <w:rFonts w:ascii="Arial" w:hAnsi="Arial" w:cs="Arial"/>
          <w:sz w:val="24"/>
          <w:szCs w:val="24"/>
          <w:lang w:val="en-US"/>
        </w:rPr>
        <w:t xml:space="preserve">to define optimum </w:t>
      </w:r>
      <w:r w:rsidR="00A053CE" w:rsidRPr="000767AE">
        <w:rPr>
          <w:rFonts w:ascii="Arial" w:hAnsi="Arial" w:cs="Arial"/>
          <w:sz w:val="24"/>
          <w:szCs w:val="24"/>
          <w:lang w:val="en-US"/>
        </w:rPr>
        <w:t xml:space="preserve">durations </w:t>
      </w:r>
      <w:r w:rsidR="00CE4C80" w:rsidRPr="000767AE">
        <w:rPr>
          <w:rFonts w:ascii="Arial" w:hAnsi="Arial" w:cs="Arial"/>
          <w:sz w:val="24"/>
          <w:szCs w:val="24"/>
          <w:lang w:val="en-US"/>
        </w:rPr>
        <w:t xml:space="preserve">and dosage </w:t>
      </w:r>
      <w:r w:rsidR="00A053CE" w:rsidRPr="000767AE">
        <w:rPr>
          <w:rFonts w:ascii="Arial" w:hAnsi="Arial" w:cs="Arial"/>
          <w:sz w:val="24"/>
          <w:szCs w:val="24"/>
          <w:lang w:val="en-US"/>
        </w:rPr>
        <w:t xml:space="preserve">of therapy </w:t>
      </w:r>
      <w:r w:rsidR="00A053CE" w:rsidRPr="000767AE">
        <w:rPr>
          <w:rFonts w:ascii="Arial" w:hAnsi="Arial"/>
          <w:sz w:val="24"/>
        </w:rPr>
        <w:t xml:space="preserve">in </w:t>
      </w:r>
      <w:r w:rsidR="007953C1" w:rsidRPr="000767AE">
        <w:rPr>
          <w:rFonts w:ascii="Arial" w:hAnsi="Arial"/>
          <w:sz w:val="24"/>
        </w:rPr>
        <w:t>specific patient groups</w:t>
      </w:r>
      <w:r w:rsidR="00A053CE" w:rsidRPr="000767AE">
        <w:rPr>
          <w:rFonts w:ascii="Arial" w:hAnsi="Arial"/>
          <w:sz w:val="24"/>
        </w:rPr>
        <w:t xml:space="preserve"> (including infants, pregnant women, undernourished, obese and co-infected patients)</w:t>
      </w:r>
      <w:r w:rsidR="009C5623" w:rsidRPr="009C5623">
        <w:rPr>
          <w:rFonts w:ascii="Arial" w:hAnsi="Arial"/>
          <w:sz w:val="24"/>
          <w:highlight w:val="yellow"/>
        </w:rPr>
        <w:t>.</w:t>
      </w:r>
      <w:r w:rsidR="009C5623" w:rsidRPr="009C5623">
        <w:rPr>
          <w:rFonts w:ascii="Arial" w:hAnsi="Arial"/>
          <w:sz w:val="24"/>
          <w:highlight w:val="yellow"/>
        </w:rPr>
        <w:fldChar w:fldCharType="begin" w:fldLock="1"/>
      </w:r>
      <w:r w:rsidR="009E0BAE">
        <w:rPr>
          <w:rFonts w:ascii="Arial" w:hAnsi="Arial"/>
          <w:sz w:val="24"/>
          <w:highlight w:val="yellow"/>
        </w:rPr>
        <w:instrText>ADDIN CSL_CITATION { "citationItems" : [ { "id" : "ITEM-1", "itemData" : { "DOI" : "10.1111/j.1467-789X.2008.00546.x", "ISSN" : "1467-789X", "PMID" : "19243518", "abstract" : "It has not been adequately evaluated whether the outcome of infections differs by body-weight category. We performed a systematic review of relevant studies. Eleven studies (one retrospective and 10 prospective cohort studies) were included in this review, involving a total of 3159 hospitalized patients or nursing home residents. Most studies (6/11) referred to lower respiratory tract infections. Seven studies showed an association of patient outcome (mortality in 6/7 studies) with body-weight category. This was shown in multivariate analysis in 4/5 studies that reported relevant data. Obese or morbidly obese patients with infections had worse outcome compared with the rest of the patients or with normal-weight patients, in 4/7 studies that reported relevant data; findings were not significant in the remaining three studies. Patients in the lowest body mass index (BMI) group had worse outcome compared with all other groups combined, in 3/5 studies that reported relevant data; findings were not significant in the remaining two studies. Low BMI was associated with worse outcome in patients with lower respiratory tract infections in 3/4 relevant studies. Although not consistently reported, an association of both ends of the BMI distribution with worse outcome of infections is plausible and merits further investigation.", "author" : [ { "dropping-particle" : "", "family" : "Falagas", "given" : "M E", "non-dropping-particle" : "", "parse-names" : false, "suffix" : "" }, { "dropping-particle" : "", "family" : "Athanasoulia", "given" : "A P", "non-dropping-particle" : "", "parse-names" : false, "suffix" : "" }, { "dropping-particle" : "", "family" : "Peppas", "given" : "G", "non-dropping-particle" : "", "parse-names" : false, "suffix" : "" }, { "dropping-particle" : "", "family" : "Karageorgopoulos", "given" : "D E", "non-dropping-particle" : "", "parse-names" : false, "suffix" : "" } ], "container-title" : "Obesity Reviews", "id" : "ITEM-1", "issue" : "3", "issued" : { "date-parts" : [ [ "2009", "5" ] ] }, "page" : "280-9", "title" : "Effect of body mass index on the outcome of infections: a systematic review.", "type" : "article-journal", "volume" : "10" }, "uris" : [ "http://www.mendeley.com/documents/?uuid=305fefb7-b24f-4cc2-9796-53b9083b54d2" ] }, { "id" : "ITEM-2", "itemData" : { "DOI" : "10.1097/QCO.0b013e328353105c", "ISSN" : "1473-6527", "PMID" : "22517604", "abstract" : "PURPOSE OF REVIEW: Antibiotics are prescribed more frequently to children than any other class of medication. Analysis of the evidence behind antimicrobial dosing regimes is imperative to improve clinical outcomes, minimize antimicrobial resistance development, and to identify priority research areas for the future. This review aims to promote debate amongst paediatricians, pharmacologists, and pharmacists about how to improve antimicrobial prescribing by considering methods to develop and disseminate optimal dosage information. RECENT FINDINGS: There has been increasing use of population analyses to understand pharmacokinetic/pharmacodynamic (PK/PD) parameters in children. Nonlinear mixed effects modelling is widely accepted to be the method of choice for analyses of PK/PD data. However, communicating the quality of PK/PD studies is an equally important factor to allow clinicians to gauge the robustness of the evidence. The possibility of grading PK/PD studies is discussed, along with using systematic reviews and PK/PD meta-analysis for generating high-quality evidence.Many doses in existing formularies (including the British National Formulary for Children) are based on outdated evidence. The need to update formularies to account for new evidence, population changes (e.g. obesity), and changing patterns of resistance requires a more systematic evaluation of antimicrobial PK/PD relationships in children. The possibility of e-formularies with links directly to the evidence should be considered and regulators must also play a role in supporting the re-evaluation of off-patent dosing guidelines. SUMMARY: Advancing our understanding of the evidence behind paediatric antimicrobial therapeutic regimens is essential to improve both clinical outcomes and patient safety. Using a combination of international collaboration, electronic communication, and PK/PD modelling techniques, we can now define the gaps in our knowledge base and develop the techniques to answer them.", "author" : [ { "dropping-particle" : "", "family" : "Barker", "given" : "Charlotte I S", "non-dropping-particle" : "", "parse-names" : false, "suffix" : "" }, { "dropping-particle" : "", "family" : "Standing", "given" : "Joseph F", "non-dropping-particle" : "", "parse-names" : false, "suffix" : "" }, { "dropping-particle" : "", "family" : "Turner", "given" : "Mark A", "non-dropping-particle" : "", "parse-names" : false, "suffix" : "" }, { "dropping-particle" : "", "family" : "McElnay", "given" : "James C", "non-dropping-particle" : "", "parse-names" : false, "suffix" : "" }, { "dropping-particle" : "", "family" : "Sharland", "given" : "Mike", "non-dropping-particle" : "", "parse-names" : false, "suffix" : "" } ], "container-title" : "Current Opinion in Infectious Diseases", "id" : "ITEM-2", "issue" : "3", "issued" : { "date-parts" : [ [ "2012", "6" ] ] }, "page" : "235-42", "title" : "Antibiotic dosing in children in Europe: can we grade the evidence from pharmacokinetic/pharmacodynamic studies - and when is enough data enough?", "type" : "article-journal", "volume" : "25" }, "uris" : [ "http://www.mendeley.com/documents/?uuid=1a6c3e0f-fa6b-4453-a2f2-510d41d8d7d0" ] } ], "mendeley" : { "formattedCitation" : "&lt;sup&gt;93,94&lt;/sup&gt;", "plainTextFormattedCitation" : "93,94", "previouslyFormattedCitation" : "&lt;sup&gt;94,95&lt;/sup&gt;" }, "properties" : { "noteIndex" : 0 }, "schema" : "https://github.com/citation-style-language/schema/raw/master/csl-citation.json" }</w:instrText>
      </w:r>
      <w:r w:rsidR="009C5623" w:rsidRPr="009C5623">
        <w:rPr>
          <w:rFonts w:ascii="Arial" w:hAnsi="Arial"/>
          <w:sz w:val="24"/>
          <w:highlight w:val="yellow"/>
        </w:rPr>
        <w:fldChar w:fldCharType="separate"/>
      </w:r>
      <w:r w:rsidR="009E0BAE" w:rsidRPr="009E0BAE">
        <w:rPr>
          <w:rFonts w:ascii="Arial" w:hAnsi="Arial"/>
          <w:noProof/>
          <w:sz w:val="24"/>
          <w:highlight w:val="yellow"/>
          <w:vertAlign w:val="superscript"/>
        </w:rPr>
        <w:t>93,94</w:t>
      </w:r>
      <w:r w:rsidR="009C5623" w:rsidRPr="009C5623">
        <w:rPr>
          <w:rFonts w:ascii="Arial" w:hAnsi="Arial"/>
          <w:sz w:val="24"/>
          <w:highlight w:val="yellow"/>
        </w:rPr>
        <w:fldChar w:fldCharType="end"/>
      </w:r>
      <w:r w:rsidR="009C5623">
        <w:rPr>
          <w:rFonts w:ascii="Arial" w:hAnsi="Arial"/>
          <w:sz w:val="24"/>
        </w:rPr>
        <w:t xml:space="preserve"> </w:t>
      </w:r>
      <w:proofErr w:type="gramStart"/>
      <w:r w:rsidR="008818C8" w:rsidRPr="000767AE">
        <w:rPr>
          <w:rFonts w:ascii="Arial" w:hAnsi="Arial"/>
          <w:sz w:val="24"/>
        </w:rPr>
        <w:t>The</w:t>
      </w:r>
      <w:proofErr w:type="gramEnd"/>
      <w:r w:rsidR="008818C8" w:rsidRPr="000767AE">
        <w:rPr>
          <w:rFonts w:ascii="Arial" w:hAnsi="Arial"/>
          <w:sz w:val="24"/>
        </w:rPr>
        <w:t xml:space="preserve"> lack of </w:t>
      </w:r>
      <w:r w:rsidR="001E6E73" w:rsidRPr="000767AE">
        <w:rPr>
          <w:rFonts w:ascii="Arial" w:hAnsi="Arial"/>
          <w:sz w:val="24"/>
        </w:rPr>
        <w:t xml:space="preserve">basic </w:t>
      </w:r>
      <w:r w:rsidR="008818C8" w:rsidRPr="000767AE">
        <w:rPr>
          <w:rFonts w:ascii="Arial" w:hAnsi="Arial"/>
          <w:sz w:val="24"/>
        </w:rPr>
        <w:t>knowledge regard</w:t>
      </w:r>
      <w:r w:rsidR="00676707" w:rsidRPr="000767AE">
        <w:rPr>
          <w:rFonts w:ascii="Arial" w:hAnsi="Arial"/>
          <w:sz w:val="24"/>
        </w:rPr>
        <w:t xml:space="preserve">ing ideal prescribing regimens </w:t>
      </w:r>
      <w:r w:rsidR="008818C8" w:rsidRPr="000767AE">
        <w:rPr>
          <w:rFonts w:ascii="Arial" w:hAnsi="Arial"/>
          <w:sz w:val="24"/>
        </w:rPr>
        <w:t xml:space="preserve">represents a </w:t>
      </w:r>
      <w:r w:rsidR="001E6E73" w:rsidRPr="000767AE">
        <w:rPr>
          <w:rFonts w:ascii="Arial" w:hAnsi="Arial"/>
          <w:sz w:val="24"/>
        </w:rPr>
        <w:t>significant gap.</w:t>
      </w:r>
      <w:r w:rsidR="00D31CB8" w:rsidRPr="000767AE">
        <w:rPr>
          <w:rFonts w:ascii="Arial" w:hAnsi="Arial"/>
          <w:sz w:val="24"/>
        </w:rPr>
        <w:t xml:space="preserve"> </w:t>
      </w:r>
      <w:r w:rsidR="00A053CE" w:rsidRPr="000767AE">
        <w:rPr>
          <w:rFonts w:ascii="Arial" w:hAnsi="Arial"/>
          <w:sz w:val="24"/>
        </w:rPr>
        <w:t>Furthermore, as noted, some pragmatic currently advocated options to address prescribing in AMR need further evaluation</w:t>
      </w:r>
      <w:r w:rsidR="007E2CF6" w:rsidRPr="000767AE">
        <w:rPr>
          <w:rFonts w:ascii="Arial" w:hAnsi="Arial"/>
          <w:sz w:val="24"/>
        </w:rPr>
        <w:t xml:space="preserve"> including</w:t>
      </w:r>
      <w:r w:rsidR="00A053CE" w:rsidRPr="000767AE">
        <w:rPr>
          <w:rFonts w:ascii="Arial" w:hAnsi="Arial"/>
          <w:sz w:val="24"/>
        </w:rPr>
        <w:t xml:space="preserve"> investigating antimicrobial prescribing </w:t>
      </w:r>
      <w:r w:rsidR="00A053CE" w:rsidRPr="000767AE">
        <w:rPr>
          <w:rFonts w:ascii="Arial" w:hAnsi="Arial" w:cs="Arial"/>
          <w:sz w:val="24"/>
          <w:szCs w:val="24"/>
          <w:lang w:val="en-US"/>
        </w:rPr>
        <w:t>combinations</w:t>
      </w:r>
      <w:r w:rsidR="00A053CE" w:rsidRPr="00705905">
        <w:rPr>
          <w:rFonts w:ascii="Arial" w:hAnsi="Arial" w:cs="Arial"/>
          <w:sz w:val="24"/>
          <w:szCs w:val="24"/>
          <w:highlight w:val="yellow"/>
          <w:lang w:val="en-US"/>
        </w:rPr>
        <w:t>.</w:t>
      </w:r>
      <w:r w:rsidR="00A053CE" w:rsidRPr="000767AE">
        <w:rPr>
          <w:rFonts w:ascii="Arial" w:hAnsi="Arial" w:cs="Arial"/>
          <w:sz w:val="24"/>
          <w:szCs w:val="24"/>
          <w:lang w:val="en-US"/>
        </w:rPr>
        <w:t xml:space="preserve"> </w:t>
      </w:r>
      <w:r w:rsidR="00D20FAA" w:rsidRPr="000767AE">
        <w:rPr>
          <w:rFonts w:ascii="Arial" w:hAnsi="Arial" w:cs="Arial"/>
          <w:sz w:val="24"/>
          <w:szCs w:val="24"/>
          <w:lang w:val="en-US"/>
        </w:rPr>
        <w:t xml:space="preserve">Many of these areas can only be </w:t>
      </w:r>
      <w:r w:rsidR="00902D97" w:rsidRPr="000767AE">
        <w:rPr>
          <w:rFonts w:ascii="Arial" w:hAnsi="Arial" w:cs="Arial"/>
          <w:sz w:val="24"/>
          <w:szCs w:val="24"/>
          <w:lang w:val="en-US"/>
        </w:rPr>
        <w:t>investigated through translational research,</w:t>
      </w:r>
      <w:r w:rsidR="00F951D5" w:rsidRPr="000767AE">
        <w:rPr>
          <w:rFonts w:ascii="Arial" w:hAnsi="Arial" w:cs="Arial"/>
          <w:sz w:val="24"/>
          <w:szCs w:val="24"/>
          <w:lang w:val="en-US"/>
        </w:rPr>
        <w:t xml:space="preserve"> including </w:t>
      </w:r>
      <w:r w:rsidR="00D131D8" w:rsidRPr="000767AE">
        <w:rPr>
          <w:rFonts w:ascii="Arial" w:hAnsi="Arial" w:cs="Arial"/>
          <w:sz w:val="24"/>
          <w:szCs w:val="24"/>
          <w:lang w:val="en-US"/>
        </w:rPr>
        <w:t>into n</w:t>
      </w:r>
      <w:r w:rsidR="008448A2" w:rsidRPr="000767AE">
        <w:rPr>
          <w:rFonts w:ascii="Arial" w:hAnsi="Arial" w:cs="Arial"/>
          <w:sz w:val="24"/>
          <w:szCs w:val="24"/>
          <w:lang w:val="en-US"/>
        </w:rPr>
        <w:t>ovel</w:t>
      </w:r>
      <w:r w:rsidR="00D131D8" w:rsidRPr="000767AE">
        <w:rPr>
          <w:rFonts w:ascii="Arial" w:hAnsi="Arial" w:cs="Arial"/>
          <w:sz w:val="24"/>
          <w:szCs w:val="24"/>
          <w:lang w:val="en-US"/>
        </w:rPr>
        <w:t xml:space="preserve"> educational tools,</w:t>
      </w:r>
      <w:r w:rsidR="00CE511B"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"10.1007/978-3-658-07141-7_1", "ISBN" : "978-3-658-07140-0", "author" : [ { "dropping-particle" : "", "family" : "Castro-S\u00e1nchez", "given" : "Enrique", "non-dropping-particle" : "", "parse-names" : false, "suffix" : "" }, { "dropping-particle" : "", "family" : "Charani", "given" : "Esmita", "non-dropping-particle" : "", "parse-names" : false, "suffix" : "" }, { "dropping-particle" : "", "family" : "Moore", "given" : "Luke Stephen Prockter", "non-dropping-particle" : "", "parse-names" : false, "suffix" : "" }, { "dropping-particle" : "", "family" : "Gharbi", "given" : "Myriam", "non-dropping-particle" : "", "parse-names" : false, "suffix" : "" }, { "dropping-particle" : "", "family" : "Holmes", "given" : "Alison Helen", "non-dropping-particle" : "", "parse-names" : false, "suffix" : "" } ], "container-title" : "Games for Health 2014: Proceedings of the 4th conference on gaming and playful interaction in healthcare", "editor" : [ { "dropping-particle" : "", "family" : "Schouten", "given" : "Ben", "non-dropping-particle" : "", "parse-names" : false, "suffix" : "" }, { "dropping-particle" : "", "family" : "Fedtke", "given" : "Stephen", "non-dropping-particle" : "", "parse-names" : false, "suffix" : "" }, { "dropping-particle" : "", "family" : "Schijven", "given" : "Marlies", "non-dropping-particle" : "", "parse-names" : false, "suffix" : "" }, { "dropping-particle" : "", "family" : "Vosmeer", "given" : "Mirjam", "non-dropping-particle" : "", "parse-names" : false, "suffix" : "" }, { "dropping-particle" : "", "family" : "Gekker", "given" : "Alex", "non-dropping-particle" : "", "parse-names" : false, "suffix" : "" } ], "id" : "ITEM-1", "issued" : { "date-parts" : [ [ "2014" ] ] }, "publisher" : "Springer Vieweg", "publisher-place" : "Wiesbaden", "title" : "\u201cOn call: antibiotics\u201d- development and evaluation of a serious antimicrobial prescribing game for hospital care", "type" : "chapter" }, "uris" : [ "http://www.mendeley.com/documents/?uuid=e0846e66-4171-4bab-bdc4-a25107153b81" ] } ], "mendeley" : { "formattedCitation" : "&lt;sup&gt;95&lt;/sup&gt;", "plainTextFormattedCitation" : "95", "previouslyFormattedCitation" : "&lt;sup&gt;96&lt;/sup&gt;" }, "properties" : { "noteIndex" : 0 }, "schema" : "https://github.com/citation-style-language/schema/raw/master/csl-citation.json" }</w:instrText>
      </w:r>
      <w:r w:rsidR="00CE511B"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95</w:t>
      </w:r>
      <w:r w:rsidR="00CE511B" w:rsidRPr="000767AE">
        <w:rPr>
          <w:rFonts w:ascii="Arial" w:hAnsi="Arial" w:cs="Arial"/>
          <w:sz w:val="24"/>
          <w:szCs w:val="24"/>
          <w:lang w:val="en-US"/>
        </w:rPr>
        <w:fldChar w:fldCharType="end"/>
      </w:r>
      <w:r w:rsidR="00902D97" w:rsidRPr="000767AE">
        <w:rPr>
          <w:rFonts w:ascii="Arial" w:hAnsi="Arial" w:cs="Arial"/>
          <w:sz w:val="24"/>
          <w:szCs w:val="24"/>
          <w:lang w:val="en-US"/>
        </w:rPr>
        <w:t xml:space="preserve"> and through implementing international networking and collaborations. A re-organisation of </w:t>
      </w:r>
      <w:r w:rsidR="00DC74F1" w:rsidRPr="000767AE">
        <w:rPr>
          <w:rFonts w:ascii="Arial" w:hAnsi="Arial" w:cs="Arial"/>
          <w:sz w:val="24"/>
          <w:szCs w:val="24"/>
          <w:lang w:val="en-US"/>
        </w:rPr>
        <w:t>AMR</w:t>
      </w:r>
      <w:r w:rsidR="00902D97" w:rsidRPr="000767AE">
        <w:rPr>
          <w:rFonts w:ascii="Arial" w:hAnsi="Arial" w:cs="Arial"/>
          <w:sz w:val="24"/>
          <w:szCs w:val="24"/>
          <w:lang w:val="en-US"/>
        </w:rPr>
        <w:t xml:space="preserve"> funding to support such translational work is needed</w:t>
      </w:r>
      <w:r w:rsidR="00CE511B" w:rsidRPr="000767AE">
        <w:rPr>
          <w:rFonts w:ascii="Arial" w:hAnsi="Arial" w:cs="Arial"/>
          <w:sz w:val="24"/>
          <w:szCs w:val="24"/>
          <w:lang w:val="en-US"/>
        </w:rPr>
        <w:t>.</w:t>
      </w:r>
      <w:r w:rsidR="00CE511B"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"10.1093/jac/dkt349", "ISSN" : "1460-2091", "PMID" : "24038777", "abstract" : "OBJECTIVES: To assess the level of research funding awarded to UK institutions specifically for antimicrobial resistance-related research and how closely the topics funded relate to the clinical and public health burden of resistance. METHODS: Databases and web sites were systematically searched for information on how infectious disease research studies were funded for the period 1997-2010. Studies specifically related to antimicrobial resistance, including bacteriology, virology, mycology and parasitology research, were identified and categorized in terms of funding by pathogen and disease and by a research and development value chain describing the type of science. RESULTS: The overall dataset included 6165 studies receiving a total investment of \u00a32.6 billion, of which \u00a3102 million was directed towards antimicrobial resistance research (5.5% of total studies, 3.9% of total spend). Of 337 resistance-related projects, 175 studies focused on bacteriology (40.2% of total resistance-related spending), 42 focused on antiviral resistance (17.2% of funding) and 51 focused on parasitology (27.4% of funding). Mean annual funding ranged from \u00a31.9 million in 1997 to \u00a322.1 million in 2009. CONCLUSIONS: Despite the fact that the emergence of antimicrobial resistance threatens our future ability to treat many infections, the proportion of the UK infection-research spend targeting this important area is small. There are encouraging signs of increased investment in this area, but it is important that this is sustained and targeted at areas of projected greatest burden. Two areas of particular concern requiring more investment are tuberculosis and multidrug-resistant Gram-negative bacteria.", "author" : [ { "dropping-particle" : "", "family" : "Head", "given" : "Michael G", "non-dropping-particle" : "", "parse-names" : false, "suffix" : "" }, { "dropping-particle" : "", "family" : "Fitchett", "given" : "Joseph R", "non-dropping-particle" : "", "parse-names" : false, "suffix" : "" }, { "dropping-particle" : "", "family" : "Cooke", "given" : "Mary K", "non-dropping-particle" : "", "parse-names" : false, "suffix" : "" }, { "dropping-particle" : "", "family" : "Wurie", "given" : "Fatima B", "non-dropping-particle" : "", "parse-names" : false, "suffix" : "" }, { "dropping-particle" : "", "family" : "Atun", "given" : "Rifat", "non-dropping-particle" : "", "parse-names" : false, "suffix" : "" }, { "dropping-particle" : "", "family" : "Hayward", "given" : "Andrew C", "non-dropping-particle" : "", "parse-names" : false, "suffix" : "" }, { "dropping-particle" : "", "family" : "Holmes", "given" : "Alison", "non-dropping-particle" : "", "parse-names" : false, "suffix" : "" }, { "dropping-particle" : "", "family" : "Johnson", "given" : "Alan P", "non-dropping-particle" : "", "parse-names" : false, "suffix" : "" }, { "dropping-particle" : "", "family" : "Woodford", "given" : "Neil", "non-dropping-particle" : "", "parse-names" : false, "suffix" : "" } ], "container-title" : "Journal of Antimicrobial Chemotherapy", "id" : "ITEM-1", "issue" : "2", "issued" : { "date-parts" : [ [ "2014", "2" ] ] }, "page" : "548-54", "title" : "Systematic analysis of funding awarded for antimicrobial resistance research to institutions in the UK, 1997-2010.", "type" : "article-journal", "volume" : "69" }, "uris" : [ "http://www.mendeley.com/documents/?uuid=79bd8092-deaa-4b8a-b31a-6c18146d0ea3" ] } ], "mendeley" : { "formattedCitation" : "&lt;sup&gt;92&lt;/sup&gt;", "plainTextFormattedCitation" : "92", "previouslyFormattedCitation" : "&lt;sup&gt;93&lt;/sup&gt;" }, "properties" : { "noteIndex" : 0 }, "schema" : "https://github.com/citation-style-language/schema/raw/master/csl-citation.json" }</w:instrText>
      </w:r>
      <w:r w:rsidR="00CE511B"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92</w:t>
      </w:r>
      <w:r w:rsidR="00CE511B" w:rsidRPr="000767AE">
        <w:rPr>
          <w:rFonts w:ascii="Arial" w:hAnsi="Arial" w:cs="Arial"/>
          <w:sz w:val="24"/>
          <w:szCs w:val="24"/>
          <w:lang w:val="en-US"/>
        </w:rPr>
        <w:fldChar w:fldCharType="end"/>
      </w:r>
    </w:p>
    <w:p w14:paraId="274A00A9" w14:textId="77777777" w:rsidR="00A053CE" w:rsidRPr="000767AE" w:rsidRDefault="00A053CE" w:rsidP="00A053CE">
      <w:pPr>
        <w:rPr>
          <w:rFonts w:ascii="Arial" w:hAnsi="Arial" w:cs="Arial"/>
          <w:sz w:val="24"/>
          <w:szCs w:val="24"/>
          <w:lang w:val="en-US"/>
        </w:rPr>
      </w:pPr>
    </w:p>
    <w:p w14:paraId="35B016B1" w14:textId="4E356886" w:rsidR="00C96F79" w:rsidRPr="000767AE" w:rsidRDefault="00A053CE" w:rsidP="00C96F79">
      <w:pPr>
        <w:rPr>
          <w:rFonts w:ascii="Arial" w:hAnsi="Arial"/>
          <w:sz w:val="24"/>
        </w:rPr>
      </w:pPr>
      <w:r w:rsidRPr="000767AE">
        <w:rPr>
          <w:rFonts w:ascii="Arial" w:hAnsi="Arial" w:cs="Arial"/>
          <w:sz w:val="24"/>
          <w:szCs w:val="24"/>
          <w:lang w:val="en-US"/>
        </w:rPr>
        <w:t xml:space="preserve">Second, </w:t>
      </w:r>
      <w:r w:rsidR="00C96F79" w:rsidRPr="000767AE">
        <w:rPr>
          <w:rFonts w:ascii="Arial" w:hAnsi="Arial" w:cs="Arial"/>
          <w:sz w:val="24"/>
          <w:szCs w:val="24"/>
          <w:lang w:val="en-US"/>
        </w:rPr>
        <w:t xml:space="preserve">in support of optimising antimicrobial use, </w:t>
      </w:r>
      <w:r w:rsidR="007C3760" w:rsidRPr="000767AE">
        <w:rPr>
          <w:rFonts w:ascii="Arial" w:hAnsi="Arial"/>
          <w:sz w:val="24"/>
        </w:rPr>
        <w:t>improved</w:t>
      </w:r>
      <w:r w:rsidR="00C96F79" w:rsidRPr="000767AE">
        <w:rPr>
          <w:rFonts w:ascii="Arial" w:hAnsi="Arial"/>
          <w:sz w:val="24"/>
        </w:rPr>
        <w:t xml:space="preserve"> targeting through rapid infection diagnostics must be enabled. Whilst this has been widely advocated,</w:t>
      </w:r>
      <w:r w:rsidR="00C96F79" w:rsidRPr="000767AE">
        <w:rPr>
          <w:rFonts w:ascii="Arial" w:hAnsi="Arial" w:cs="Arial"/>
          <w:noProof/>
          <w:sz w:val="24"/>
          <w:szCs w:val="24"/>
          <w:vertAlign w:val="superscript"/>
          <w:lang w:val="en-US"/>
        </w:rPr>
        <w:fldChar w:fldCharType="begin" w:fldLock="1"/>
      </w:r>
      <w:r w:rsidR="009E0BAE">
        <w:rPr>
          <w:rFonts w:ascii="Arial" w:hAnsi="Arial" w:cs="Arial"/>
          <w:noProof/>
          <w:sz w:val="24"/>
          <w:szCs w:val="24"/>
          <w:vertAlign w:val="superscript"/>
          <w:lang w:val="en-US"/>
        </w:rPr>
        <w:instrText>ADDIN CSL_CITATION { "citationItems" : [ { "id" : "ITEM-1", "itemData" : { "author" : [ { "dropping-particle" : "", "family" : "Centres for Disease Control and Prevention.", "given" : "", "non-dropping-particle" : "", "parse-names" : false, "suffix" : "" } ], "id" : "ITEM-1", "issued" : { "date-parts" : [ [ "2013" ] ] }, "publisher-place" : "Atlanta", "title" : "Antibiotic resistance threats in the United States, 2013.", "type" : "report" }, "uris" : [ "http://www.mendeley.com/documents/?uuid=aa516bcc-9dbc-42d2-91db-61d4e2350a48" ] }, { "id" : "ITEM-2", "itemData" : { "author" : [ { "dropping-particle" : "", "family" : "Department of Health", "given" : "", "non-dropping-particle" : "", "parse-names" : false, "suffix" : "" }, { "dropping-particle" : "", "family" : "Department for Environment Food and Rural Affairs", "given" : "", "non-dropping-particle" : "", "parse-names" : false, "suffix" : "" } ], "id" : "ITEM-2", "issued" : { "date-parts" : [ [ "2013" ] ] }, "publisher-place" : "London", "title" : "UK Five Year Antimicrobial Resistance Strategy 2013 to 2018", "type" : "report" }, "uris" : [ "http://www.mendeley.com/documents/?uuid=e2b8a2c8-eab2-4c5c-af1b-5dab96d88c65" ] }, { "id" : "ITEM-3", "itemData" : { "author" : [ { "dropping-particle" : "", "family" : "Laxminarayan", "given" : "Ramanan", "non-dropping-particle" : "", "parse-names" : false, "suffix" : "" }, { "dropping-particle" : "", "family" : "Duse", "given" : "Adriano", "non-dropping-particle" : "", "parse-names" : false, "suffix" : "" }, { "dropping-particle" : "", "family" : "Wattal", "given" : "Chand", "non-dropping-particle" : "", "parse-names" : false, "suffix" : "" }, { "dropping-particle" : "", "family" : "Zaidi", "given" : "Anita K M", "non-dropping-particle" : "", "parse-names" : false, "suffix" : "" }, { "dropping-particle" : "", "family" : "Wertheim", "given" : "Heiman F L", "non-dropping-particle" : "", "parse-names" : false, "suffix" : "" }, { "dropping-particle" : "", "family" : "Sumpradit", "given" : "Nithima", "non-dropping-particle" : "", "parse-names" : false, "suffix" : "" }, { "dropping-particle" : "", "family" : "Vlieghe", "given" : "Erika", "non-dropping-particle" : "", "parse-names" : false, "suffix" : "" }, { "dropping-particle" : "", "family" : "Hara", "given" : "Gabriel Levy", "non-dropping-particle" : "", "parse-names" : false, "suffix" : "" }, { "dropping-particle" : "", "family" : "Gould", "given" : "Ian M", "non-dropping-particle" : "", "parse-names" : false, "suffix" : "" }, { "dropping-particle" : "", "family" : "Goossens", "given" : "Herman", "non-dropping-particle" : "", "parse-names" : false, "suffix" : "" }, { "dropping-particle" : "", "family" : "Greko", "given" : "Christina", "non-dropping-particle" : "", "parse-names" : false, "suffix" : "" }, { "dropping-particle" : "", "family" : "So", "given" : "Anthony D", "non-dropping-particle" : "", "parse-names" : false, "suffix" : "" }, { "dropping-particle" : "", "family" : "Bigdeli", "given" : "Maryam", "non-dropping-particle" : "", "parse-names" : false, "suffix" : "" }, { "dropping-particle" : "", "family" : "Tomson", "given" : "G\u00f6ran", "non-dropping-particle" : "", "parse-names" : false, "suffix" : "" }, { "dropping-particle" : "", "family" : "Woodhouse", "given" : "Will", "non-dropping-particle" : "", "parse-names" : false, "suffix" : "" }, { "dropping-particle" : "", "family" : "Ombaka", "given" : "Eva", "non-dropping-particle" : "", "parse-names" : false, "suffix" : "" }, { "dropping-particle" : "", "family" : "Peralta", "given" : "Arturo Quizhpe", "non-dropping-particle" : "", "parse-names" : false, "suffix" : "" }, { "dropping-particle" : "", "family" : "Qamar", "given" : "Farah Naz", "non-dropping-particle" : "", "parse-names" : false, "suffix" : "" }, { "dropping-particle" : "", "family" : "Mir", "given" : "Fatima", "non-dropping-particle" : "", "parse-names" : false, "suffix" : "" }, { "dropping-particle" : "", "family" : "Kariuki", "given" : "Sam", "non-dropping-particle" : "", "parse-names" : false, "suffix" : "" }, { "dropping-particle" : "", "family" : "Bhutta", "given" : "Zulfiqar A", "non-dropping-particle" : "", "parse-names" : false, "suffix" : "" }, { "dropping-particle" : "", "family" : "Coates", "given" : "Anthony", "non-dropping-particle" : "", "parse-names" : false, "suffix" : "" }, { "dropping-particle" : "", "family" : "Bergstrom", "given" : "Richard", "non-dropping-particle" : "", "parse-names" : false, "suffix" : "" }, { "dropping-particle" : "", "family" : "Wright", "given" : "Gerard D", "non-dropping-particle" : "", "parse-names" : false, "suffix" : "" }, { "dropping-particle" : "", "family" : "Brown", "given" : "Eric D", "non-dropping-particle" : "", "parse-names" : false, "suffix" : "" }, { "dropping-particle" : "", "family" : "Cars", "given" : "Otto", "non-dropping-particle" : "", "parse-names" : false, "suffix" : "" } ], "container-title" : "Lancet Infectious Diseases", "id" : "ITEM-3", "issue" : "12", "issued" : { "date-parts" : [ [ "2013" ] ] }, "page" : "1057-98", "title" : "Antibiotic resistance-the need for global solutions.", "type" : "article-journal", "volume" : "13" }, "uris" : [ "http://www.mendeley.com/documents/?uuid=3ca22af9-bb87-4e1f-9ff0-97f74a412440" ] } ], "mendeley" : { "formattedCitation" : "&lt;sup&gt;20,21,87&lt;/sup&gt;", "plainTextFormattedCitation" : "20,21,87", "previouslyFormattedCitation" : "&lt;sup&gt;21,22,88&lt;/sup&gt;" }, "properties" : { "noteIndex" : 0 }, "schema" : "https://github.com/citation-style-language/schema/raw/master/csl-citation.json" }</w:instrText>
      </w:r>
      <w:r w:rsidR="00C96F79" w:rsidRPr="000767AE">
        <w:rPr>
          <w:rFonts w:ascii="Arial" w:hAnsi="Arial" w:cs="Arial"/>
          <w:noProof/>
          <w:sz w:val="24"/>
          <w:szCs w:val="24"/>
          <w:vertAlign w:val="superscript"/>
          <w:lang w:val="en-US"/>
        </w:rPr>
        <w:fldChar w:fldCharType="separate"/>
      </w:r>
      <w:r w:rsidR="009E0BAE" w:rsidRPr="009E0BAE">
        <w:rPr>
          <w:rFonts w:ascii="Arial" w:hAnsi="Arial" w:cs="Arial"/>
          <w:noProof/>
          <w:sz w:val="24"/>
          <w:szCs w:val="24"/>
          <w:vertAlign w:val="superscript"/>
          <w:lang w:val="en-US"/>
        </w:rPr>
        <w:t>20,21,87</w:t>
      </w:r>
      <w:r w:rsidR="00C96F79" w:rsidRPr="000767AE">
        <w:rPr>
          <w:rFonts w:ascii="Arial" w:hAnsi="Arial" w:cs="Arial"/>
          <w:noProof/>
          <w:sz w:val="24"/>
          <w:szCs w:val="24"/>
          <w:vertAlign w:val="superscript"/>
          <w:lang w:val="en-US"/>
        </w:rPr>
        <w:fldChar w:fldCharType="end"/>
      </w:r>
      <w:r w:rsidR="00C96F79" w:rsidRPr="000767AE">
        <w:rPr>
          <w:rFonts w:ascii="Arial" w:hAnsi="Arial"/>
          <w:sz w:val="24"/>
        </w:rPr>
        <w:t xml:space="preserve"> it has been slow to be </w:t>
      </w:r>
      <w:r w:rsidR="00637228" w:rsidRPr="000767AE">
        <w:rPr>
          <w:rFonts w:ascii="Arial" w:hAnsi="Arial"/>
          <w:sz w:val="24"/>
        </w:rPr>
        <w:t>implemented</w:t>
      </w:r>
      <w:r w:rsidR="00C96F79" w:rsidRPr="000767AE">
        <w:rPr>
          <w:rFonts w:ascii="Arial" w:hAnsi="Arial"/>
          <w:sz w:val="24"/>
        </w:rPr>
        <w:t>, due partly to technical and financial barriers</w:t>
      </w:r>
      <w:r w:rsidR="00C96F79" w:rsidRPr="009C5623">
        <w:rPr>
          <w:rFonts w:ascii="Arial" w:hAnsi="Arial"/>
          <w:sz w:val="24"/>
          <w:highlight w:val="yellow"/>
        </w:rPr>
        <w:t>,</w:t>
      </w:r>
      <w:r w:rsidR="00BE59AE">
        <w:rPr>
          <w:rFonts w:ascii="Arial" w:hAnsi="Arial"/>
          <w:sz w:val="24"/>
          <w:highlight w:val="yellow"/>
        </w:rPr>
        <w:fldChar w:fldCharType="begin" w:fldLock="1"/>
      </w:r>
      <w:r w:rsidR="009E0BAE">
        <w:rPr>
          <w:rFonts w:ascii="Arial" w:hAnsi="Arial"/>
          <w:sz w:val="24"/>
          <w:highlight w:val="yellow"/>
        </w:rPr>
        <w:instrText>ADDIN CSL_CITATION { "citationItems" : [ { "id" : "ITEM-1", "itemData" : { "author" : [ { "dropping-particle" : "", "family" : "World Health Organization", "given" : "", "non-dropping-particle" : "", "parse-names" : false, "suffix" : "" } ], "container-title" : "2012", "id" : "ITEM-1", "issued" : { "date-parts" : [ [ "2012" ] ] }, "publisher-place" : "Geneva", "title" : "The evolving threat of antimicrobial resistance: Options for action", "type" : "report" }, "uris" : [ "http://www.mendeley.com/documents/?uuid=d7dc2532-070a-4f17-a252-61a578e46efa" ] } ], "mendeley" : { "formattedCitation" : "&lt;sup&gt;22&lt;/sup&gt;", "plainTextFormattedCitation" : "22", "previouslyFormattedCitation" : "&lt;sup&gt;23&lt;/sup&gt;" }, "properties" : { "noteIndex" : 0 }, "schema" : "https://github.com/citation-style-language/schema/raw/master/csl-citation.json" }</w:instrText>
      </w:r>
      <w:r w:rsidR="00BE59AE">
        <w:rPr>
          <w:rFonts w:ascii="Arial" w:hAnsi="Arial"/>
          <w:sz w:val="24"/>
          <w:highlight w:val="yellow"/>
        </w:rPr>
        <w:fldChar w:fldCharType="separate"/>
      </w:r>
      <w:r w:rsidR="009E0BAE" w:rsidRPr="009E0BAE">
        <w:rPr>
          <w:rFonts w:ascii="Arial" w:hAnsi="Arial"/>
          <w:noProof/>
          <w:sz w:val="24"/>
          <w:highlight w:val="yellow"/>
          <w:vertAlign w:val="superscript"/>
        </w:rPr>
        <w:t>22</w:t>
      </w:r>
      <w:r w:rsidR="00BE59AE">
        <w:rPr>
          <w:rFonts w:ascii="Arial" w:hAnsi="Arial"/>
          <w:sz w:val="24"/>
          <w:highlight w:val="yellow"/>
        </w:rPr>
        <w:fldChar w:fldCharType="end"/>
      </w:r>
      <w:r w:rsidR="00C96F79" w:rsidRPr="000767AE">
        <w:rPr>
          <w:rFonts w:ascii="Arial" w:hAnsi="Arial"/>
          <w:sz w:val="24"/>
        </w:rPr>
        <w:t xml:space="preserve"> but also issues around innovation adoption.</w:t>
      </w:r>
      <w:r w:rsidR="00C96F79" w:rsidRPr="000767AE">
        <w:rPr>
          <w:rFonts w:ascii="Arial" w:hAnsi="Arial" w:cs="Arial"/>
          <w:noProof/>
          <w:sz w:val="24"/>
          <w:szCs w:val="24"/>
          <w:vertAlign w:val="superscript"/>
          <w:lang w:val="en-US"/>
        </w:rPr>
        <w:fldChar w:fldCharType="begin" w:fldLock="1"/>
      </w:r>
      <w:r w:rsidR="009E0BAE">
        <w:rPr>
          <w:rFonts w:ascii="Arial" w:hAnsi="Arial" w:cs="Arial"/>
          <w:noProof/>
          <w:sz w:val="24"/>
          <w:szCs w:val="24"/>
          <w:vertAlign w:val="superscript"/>
          <w:lang w:val="en-US"/>
        </w:rPr>
        <w:instrText>ADDIN CSL_CITATION { "citationItems" : [ { "id" : "ITEM-1", "itemData" : { "DOI" : "10.1136/bmjopen-2012-000872", "ISSN" : "2044-6055", "PMID" : "22492183", "abstract" : "OBJECTIVES: To understand organisational technology adoption (initiation, adoption decision, implementation) by looking at the different types of innovation knowledge used during this process.\n\nDESIGN: Qualitative, multisite, comparative case study design.\n\nSETTING: One primary care and 11 acute care organisations (trusts) across all health regions in England in the context of infection prevention and control. PARTICIPANTS AND DATA ANALYSIS: 121 semistructured individual and group interviews with 109 informants, involving clinical and non-clinical staff from all organisational levels and various professional groups. Documentary evidence and field notes were also used. 38 technology adoption processes were analysed using an integrated approach combining inductive and deductive reasoning.\n\nMAIN FINDINGS: Those involved in the process variably accessed three types of innovation knowledge: 'awareness' (information that an innovation exists), 'principles' (information about an innovation's functioning principles) and 'how-to' (information required to use an innovation properly at individual and organisational levels). Centralised (national, government-led) and local sources were used to obtain this knowledge. Localised professional networks were preferred sources for all three types of knowledge. Professional backgrounds influenced an asymmetric attention to different types of innovation knowledge. When less attention was given to 'how-to' compared with 'principles' knowledge at the early stages of the process, this contributed to 12 cases of incomplete implementation or discontinuance after initial adoption.\n\nCONCLUSIONS: Potential adopters and change agents often overlooked or undervalued 'how-to' knowledge. Balancing 'principles' and 'how-to' knowledge early in the innovation process enhanced successful technology adoption and implementation by considering efficacy as well as strategic, structural and cultural fit with the organisation's context. This learning is critical given the policy emphasis for health organisations to be innovation-ready.", "author" : [ { "dropping-particle" : "", "family" : "Kyratsis", "given" : "Yiannis", "non-dropping-particle" : "", "parse-names" : false, "suffix" : "" }, { "dropping-particle" : "", "family" : "Ahmad", "given" : "Raheelah", "non-dropping-particle" : "", "parse-names" : false, "suffix" : "" }, { "dropping-particle" : "", "family" : "Holmes", "given" : "Alison", "non-dropping-particle" : "", "parse-names" : false, "suffix" : "" } ], "container-title" : "BMJ open", "id" : "ITEM-1", "issue" : "2", "issued" : { "date-parts" : [ [ "2012", "1" ] ] }, "page" : "e000872", "title" : "Technology adoption and implementation in organisations: comparative case studies of 12 English NHS Trusts.", "type" : "article-journal", "volume" : "2" }, "uris" : [ "http://www.mendeley.com/documents/?uuid=a3fa3695-1145-4c1f-8b3e-8802442dfe74" ] } ], "mendeley" : { "formattedCitation" : "&lt;sup&gt;96&lt;/sup&gt;", "plainTextFormattedCitation" : "96", "previouslyFormattedCitation" : "&lt;sup&gt;97&lt;/sup&gt;" }, "properties" : { "noteIndex" : 0 }, "schema" : "https://github.com/citation-style-language/schema/raw/master/csl-citation.json" }</w:instrText>
      </w:r>
      <w:r w:rsidR="00C96F79" w:rsidRPr="000767AE">
        <w:rPr>
          <w:rFonts w:ascii="Arial" w:hAnsi="Arial" w:cs="Arial"/>
          <w:noProof/>
          <w:sz w:val="24"/>
          <w:szCs w:val="24"/>
          <w:vertAlign w:val="superscript"/>
          <w:lang w:val="en-US"/>
        </w:rPr>
        <w:fldChar w:fldCharType="separate"/>
      </w:r>
      <w:r w:rsidR="009E0BAE" w:rsidRPr="009E0BAE">
        <w:rPr>
          <w:rFonts w:ascii="Arial" w:hAnsi="Arial" w:cs="Arial"/>
          <w:noProof/>
          <w:sz w:val="24"/>
          <w:szCs w:val="24"/>
          <w:vertAlign w:val="superscript"/>
          <w:lang w:val="en-US"/>
        </w:rPr>
        <w:t>96</w:t>
      </w:r>
      <w:r w:rsidR="00C96F79" w:rsidRPr="000767AE">
        <w:rPr>
          <w:rFonts w:ascii="Arial" w:hAnsi="Arial" w:cs="Arial"/>
          <w:noProof/>
          <w:sz w:val="24"/>
          <w:szCs w:val="24"/>
          <w:vertAlign w:val="superscript"/>
          <w:lang w:val="en-US"/>
        </w:rPr>
        <w:fldChar w:fldCharType="end"/>
      </w:r>
      <w:r w:rsidR="00C96F79" w:rsidRPr="000767AE">
        <w:rPr>
          <w:rFonts w:ascii="Arial" w:hAnsi="Arial"/>
          <w:sz w:val="24"/>
        </w:rPr>
        <w:t xml:space="preserve"> An example is next generation sequencing</w:t>
      </w:r>
      <w:r w:rsidR="00DC74F1" w:rsidRPr="000767AE">
        <w:rPr>
          <w:rFonts w:ascii="Arial" w:hAnsi="Arial"/>
          <w:sz w:val="24"/>
        </w:rPr>
        <w:t xml:space="preserve"> which is </w:t>
      </w:r>
      <w:r w:rsidR="00C96F79" w:rsidRPr="000767AE">
        <w:rPr>
          <w:rFonts w:ascii="Arial" w:hAnsi="Arial"/>
          <w:sz w:val="24"/>
        </w:rPr>
        <w:t>likely to radically change microbiological diagnostics</w:t>
      </w:r>
      <w:r w:rsidR="00DC74F1" w:rsidRPr="000767AE">
        <w:rPr>
          <w:rFonts w:ascii="Arial" w:hAnsi="Arial"/>
          <w:sz w:val="24"/>
        </w:rPr>
        <w:t>,</w:t>
      </w:r>
      <w:r w:rsidR="00C96F79" w:rsidRPr="000767AE">
        <w:rPr>
          <w:rFonts w:ascii="Arial" w:hAnsi="Arial"/>
          <w:sz w:val="24"/>
        </w:rPr>
        <w:t xml:space="preserve"> yet costs, data pipelines and clinical confidence in interpreting results have yet to be resolved.</w:t>
      </w:r>
      <w:r w:rsidR="00C96F79" w:rsidRPr="000767AE">
        <w:rPr>
          <w:rFonts w:ascii="Arial" w:hAnsi="Arial" w:cs="Arial"/>
          <w:noProof/>
          <w:sz w:val="24"/>
          <w:szCs w:val="24"/>
          <w:vertAlign w:val="superscript"/>
          <w:lang w:val="en-US"/>
        </w:rPr>
        <w:fldChar w:fldCharType="begin" w:fldLock="1"/>
      </w:r>
      <w:r w:rsidR="009E0BAE">
        <w:rPr>
          <w:rFonts w:ascii="Arial" w:hAnsi="Arial" w:cs="Arial"/>
          <w:noProof/>
          <w:sz w:val="24"/>
          <w:szCs w:val="24"/>
          <w:vertAlign w:val="superscript"/>
          <w:lang w:val="en-US"/>
        </w:rPr>
        <w:instrText>ADDIN CSL_CITATION { "citationItems" : [ { "id" : "ITEM-1", "itemData" : { "DOI" : "10.1371/journal.ppat.1002824", "ISSN" : "1553-7374", "PMID" : "22876174", "author" : [ { "dropping-particle" : "", "family" : "K\u00f6ser", "given" : "Claudio U", "non-dropping-particle" : "", "parse-names" : false, "suffix" : "" }, { "dropping-particle" : "", "family" : "Ellington", "given" : "Matthew J", "non-dropping-particle" : "", "parse-names" : false, "suffix" : "" }, { "dropping-particle" : "", "family" : "Cartwright", "given" : "Edward J P", "non-dropping-particle" : "", "parse-names" : false, "suffix" : "" }, { "dropping-particle" : "", "family" : "Gillespie", "given" : "Stephen H", "non-dropping-particle" : "", "parse-names" : false, "suffix" : "" }, { "dropping-particle" : "", "family" : "Brown", "given" : "Nicholas M", "non-dropping-particle" : "", "parse-names" : false, "suffix" : "" }, { "dropping-particle" : "", "family" : "Farrington", "given" : "Mark", "non-dropping-particle" : "", "parse-names" : false, "suffix" : "" }, { "dropping-particle" : "", "family" : "Holden", "given" : "Matthew T G", "non-dropping-particle" : "", "parse-names" : false, "suffix" : "" }, { "dropping-particle" : "", "family" : "Dougan", "given" : "Gordon", "non-dropping-particle" : "", "parse-names" : false, "suffix" : "" }, { "dropping-particle" : "", "family" : "Bentley", "given" : "Stephen D", "non-dropping-particle" : "", "parse-names" : false, "suffix" : "" }, { "dropping-particle" : "", "family" : "Parkhill", "given" : "Julian", "non-dropping-particle" : "", "parse-names" : false, "suffix" : "" }, { "dropping-particle" : "", "family" : "Peacock", "given" : "Sharon J", "non-dropping-particle" : "", "parse-names" : false, "suffix" : "" } ], "container-title" : "PLoS pathogens", "id" : "ITEM-1", "issue" : "8", "issued" : { "date-parts" : [ [ "2012", "1" ] ] }, "page" : "e1002824", "title" : "Routine use of microbial whole genome sequencing in diagnostic and public health microbiology.", "type" : "article-journal", "volume" : "8" }, "uris" : [ "http://www.mendeley.com/documents/?uuid=712c9134-a5ef-4836-9e5c-314d09fc4bdc" ] } ], "mendeley" : { "formattedCitation" : "&lt;sup&gt;97&lt;/sup&gt;", "plainTextFormattedCitation" : "97", "previouslyFormattedCitation" : "&lt;sup&gt;98&lt;/sup&gt;" }, "properties" : { "noteIndex" : 0 }, "schema" : "https://github.com/citation-style-language/schema/raw/master/csl-citation.json" }</w:instrText>
      </w:r>
      <w:r w:rsidR="00C96F79" w:rsidRPr="000767AE">
        <w:rPr>
          <w:rFonts w:ascii="Arial" w:hAnsi="Arial" w:cs="Arial"/>
          <w:noProof/>
          <w:sz w:val="24"/>
          <w:szCs w:val="24"/>
          <w:vertAlign w:val="superscript"/>
          <w:lang w:val="en-US"/>
        </w:rPr>
        <w:fldChar w:fldCharType="separate"/>
      </w:r>
      <w:r w:rsidR="009E0BAE" w:rsidRPr="009E0BAE">
        <w:rPr>
          <w:rFonts w:ascii="Arial" w:hAnsi="Arial" w:cs="Arial"/>
          <w:noProof/>
          <w:sz w:val="24"/>
          <w:szCs w:val="24"/>
          <w:vertAlign w:val="superscript"/>
          <w:lang w:val="en-US"/>
        </w:rPr>
        <w:t>97</w:t>
      </w:r>
      <w:r w:rsidR="00C96F79" w:rsidRPr="000767AE">
        <w:rPr>
          <w:rFonts w:ascii="Arial" w:hAnsi="Arial" w:cs="Arial"/>
          <w:noProof/>
          <w:sz w:val="24"/>
          <w:szCs w:val="24"/>
          <w:vertAlign w:val="superscript"/>
          <w:lang w:val="en-US"/>
        </w:rPr>
        <w:fldChar w:fldCharType="end"/>
      </w:r>
      <w:r w:rsidR="00C96F79" w:rsidRPr="000767AE">
        <w:rPr>
          <w:rFonts w:ascii="Arial" w:hAnsi="Arial"/>
          <w:sz w:val="24"/>
        </w:rPr>
        <w:t xml:space="preserve"> An alternative technological development already widely in use, namely matrix-assisted laser desorption/ionization time-of-flight, allows rapid micro-organism identification, and potentially also antimicrobial susceptibility testing.</w:t>
      </w:r>
      <w:r w:rsidR="00C96F79" w:rsidRPr="000767AE">
        <w:rPr>
          <w:rFonts w:ascii="Arial" w:hAnsi="Arial" w:cs="Arial"/>
          <w:noProof/>
          <w:sz w:val="24"/>
          <w:szCs w:val="24"/>
          <w:vertAlign w:val="superscript"/>
          <w:lang w:val="en-US"/>
        </w:rPr>
        <w:fldChar w:fldCharType="begin" w:fldLock="1"/>
      </w:r>
      <w:r w:rsidR="009E0BAE">
        <w:rPr>
          <w:rFonts w:ascii="Arial" w:hAnsi="Arial" w:cs="Arial"/>
          <w:noProof/>
          <w:sz w:val="24"/>
          <w:szCs w:val="24"/>
          <w:vertAlign w:val="superscript"/>
          <w:lang w:val="en-US"/>
        </w:rPr>
        <w:instrText>ADDIN CSL_CITATION { "citationItems" : [ { "id" : "ITEM-1", "itemData" : { "DOI" : "10.1128/CMR.00058-12", "ISSN" : "1098-6618", "PMID" : "23297261", "abstract" : "Matrix-assisted laser desorption ionization-time of flight mass spectrometry (MALDI-TOF MS) has been successfully applied as an identification procedure in clinical microbiology and has been widely used in routine laboratory practice because of its economical and diagnostic benefits. The range of applications of MALDI-TOF MS has been growing constantly, from rapid species identification to labor-intensive proteomic studies of bacterial physiology. The purpose of this review is to summarize the contribution of the studies already performed with MALDI-TOF MS concerning antibiotic resistance and to analyze future perspectives in this field. We believe that current research should continue in four main directions, including the detection of antibiotic modifications by degrading enzymes, the detection of resistance mechanism determinants through proteomic studies of multiresistant bacteria, and the analysis of modifications of target sites, such as ribosomal methylation. The quantification of antibiotics is suggested as a new approach to study influx and efflux in bacterial cells. The results of the presented studies demonstrate that MALDI-TOF MS is a relevant tool for the detection of antibiotic resistance and opens new avenues for both clinical and experimental microbiology.", "author" : [ { "dropping-particle" : "", "family" : "Hrab\u00e1k", "given" : "Jaroslav", "non-dropping-particle" : "", "parse-names" : false, "suffix" : "" }, { "dropping-particle" : "", "family" : "Chud\u00e1ckov\u00e1", "given" : "Eva", "non-dropping-particle" : "", "parse-names" : false, "suffix" : "" }, { "dropping-particle" : "", "family" : "Walkov\u00e1", "given" : "Radka", "non-dropping-particle" : "", "parse-names" : false, "suffix" : "" } ], "container-title" : "Clinical Microbiology Reviews", "id" : "ITEM-1", "issue" : "1", "issued" : { "date-parts" : [ [ "2013", "1" ] ] }, "note" : "From Duplicate 2 ( Matrix-assisted laser desorption ionization-time of flight (maldi-tof) mass spectrometry for detection of antibiotic resistance mechanisms: from research to routine diagnosis. - Hrab\u00e1k, Jaroslav; Chud\u00e1ckov\u00e1, Eva; Walkov\u00e1, Radka )", "page" : "103-14", "title" : "Matrix-assisted laser desorption ionization-time of flight (maldi-tof) mass spectrometry for detection of antibiotic resistance mechanisms: from research to routine diagnosis.", "type" : "article-journal", "volume" : "26" }, "uris" : [ "http://www.mendeley.com/documents/?uuid=d32c48f0-5b34-4d9d-bfe9-d24c07c300ac" ] } ], "mendeley" : { "formattedCitation" : "&lt;sup&gt;98&lt;/sup&gt;", "plainTextFormattedCitation" : "98", "previouslyFormattedCitation" : "&lt;sup&gt;99&lt;/sup&gt;" }, "properties" : { "noteIndex" : 0 }, "schema" : "https://github.com/citation-style-language/schema/raw/master/csl-citation.json" }</w:instrText>
      </w:r>
      <w:r w:rsidR="00C96F79" w:rsidRPr="000767AE">
        <w:rPr>
          <w:rFonts w:ascii="Arial" w:hAnsi="Arial" w:cs="Arial"/>
          <w:noProof/>
          <w:sz w:val="24"/>
          <w:szCs w:val="24"/>
          <w:vertAlign w:val="superscript"/>
          <w:lang w:val="en-US"/>
        </w:rPr>
        <w:fldChar w:fldCharType="separate"/>
      </w:r>
      <w:r w:rsidR="009E0BAE" w:rsidRPr="009E0BAE">
        <w:rPr>
          <w:rFonts w:ascii="Arial" w:hAnsi="Arial" w:cs="Arial"/>
          <w:noProof/>
          <w:sz w:val="24"/>
          <w:szCs w:val="24"/>
          <w:vertAlign w:val="superscript"/>
          <w:lang w:val="en-US"/>
        </w:rPr>
        <w:t>98</w:t>
      </w:r>
      <w:r w:rsidR="00C96F79" w:rsidRPr="000767AE">
        <w:rPr>
          <w:rFonts w:ascii="Arial" w:hAnsi="Arial" w:cs="Arial"/>
          <w:noProof/>
          <w:sz w:val="24"/>
          <w:szCs w:val="24"/>
          <w:vertAlign w:val="superscript"/>
          <w:lang w:val="en-US"/>
        </w:rPr>
        <w:fldChar w:fldCharType="end"/>
      </w:r>
      <w:r w:rsidR="00C96F79" w:rsidRPr="000767AE">
        <w:rPr>
          <w:rFonts w:ascii="Arial" w:hAnsi="Arial"/>
          <w:sz w:val="24"/>
        </w:rPr>
        <w:t xml:space="preserve"> These avenues are suitable for secondary care, but for primary care optimising antimicrobial use through near patient inflammatory marker assays has growing evidence.</w:t>
      </w:r>
      <w:r w:rsidR="00C96F79" w:rsidRPr="000767AE">
        <w:rPr>
          <w:rFonts w:ascii="Arial" w:hAnsi="Arial" w:cs="Arial"/>
          <w:noProof/>
          <w:sz w:val="24"/>
          <w:szCs w:val="24"/>
          <w:vertAlign w:val="superscript"/>
          <w:lang w:val="en-US"/>
        </w:rPr>
        <w:fldChar w:fldCharType="begin" w:fldLock="1"/>
      </w:r>
      <w:r w:rsidR="009E0BAE">
        <w:rPr>
          <w:rFonts w:ascii="Arial" w:hAnsi="Arial" w:cs="Arial"/>
          <w:noProof/>
          <w:sz w:val="24"/>
          <w:szCs w:val="24"/>
          <w:vertAlign w:val="superscript"/>
          <w:lang w:val="en-US"/>
        </w:rPr>
        <w:instrText>ADDIN CSL_CITATION { "citationItems" : [ { "id" : "ITEM-1", "itemData" : { "author" : [ { "dropping-particle" : "", "family" : "Schuetz", "given" : "P", "non-dropping-particle" : "", "parse-names" : false, "suffix" : "" }, { "dropping-particle" : "", "family" : "M\u00fcller", "given" : "B", "non-dropping-particle" : "", "parse-names" : false, "suffix" : "" }, { "dropping-particle" : "", "family" : "Stolz", "given" : "D", "non-dropping-particle" : "", "parse-names" : false, "suffix" : "" }, { "dropping-particle" : "", "family" : "Tamm", "given" : "M", "non-dropping-particle" : "", "parse-names" : false, "suffix" : "" }, { "dropping-particle" : "", "family" : "Bouadma", "given" : "L", "non-dropping-particle" : "", "parse-names" : false, "suffix" : "" }, { "dropping-particle" : "", "family" : "Ce", "given" : "Luyt", "non-dropping-particle" : "", "parse-names" : false, "suffix" : "" }, { "dropping-particle" : "", "family" : "Wolff", "given" : "M", "non-dropping-particle" : "", "parse-names" : false, "suffix" : "" }, { "dropping-particle" : "", "family" : "Chastre", "given" : "J", "non-dropping-particle" : "", "parse-names" : false, "suffix" : "" }, { "dropping-particle" : "", "family" : "Tubach", "given" : "F", "non-dropping-particle" : "", "parse-names" : false, "suffix" : "" }, { "dropping-particle" : "", "family" : "Kb", "given" : "Kristoffersen", "non-dropping-particle" : "", "parse-names" : false, "suffix" : "" }, { "dropping-particle" : "", "family" : "Burkhardt", "given" : "O", "non-dropping-particle" : "", "parse-names" : false, "suffix" : "" }, { "dropping-particle" : "", "family" : "Welte", "given" : "T", "non-dropping-particle" : "", "parse-names" : false, "suffix" : "" }, { "dropping-particle" : "", "family" : "Schroeder", "given" : "S", "non-dropping-particle" : "", "parse-names" : false, "suffix" : "" }, { "dropping-particle" : "", "family" : "Nobre", "given" : "V", "non-dropping-particle" : "", "parse-names" : false, "suffix" : "" }, { "dropping-particle" : "", "family" : "Wei", "given" : "L", "non-dropping-particle" : "", "parse-names" : false, "suffix" : "" }, { "dropping-particle" : "", "family" : "Bhatnagar", "given" : "N", "non-dropping-particle" : "", "parse-names" : false, "suffix" : "" }, { "dropping-particle" : "", "family" : "Bucher", "given" : "HC", "non-dropping-particle" : "", "parse-names" : false, "suffix" : "" }, { "dropping-particle" : "", "family" : "Briel", "given" : "M", "non-dropping-particle" : "", "parse-names" : false, "suffix" : "" } ], "container-title" : "Cochrane Database of Systematic Reviews", "id" : "ITEM-1", "issue" : "9", "issued" : { "date-parts" : [ [ "2012" ] ] }, "page" : "CD007498", "title" : "Procalcitonin to initiate or discontinue antibiotics in acute respiratory tract infections (Review)", "type" : "article-journal" }, "uris" : [ "http://www.mendeley.com/documents/?uuid=d33d2f7e-0453-4b0f-8098-52028136accd" ] } ], "mendeley" : { "formattedCitation" : "&lt;sup&gt;99&lt;/sup&gt;", "plainTextFormattedCitation" : "99", "previouslyFormattedCitation" : "&lt;sup&gt;100&lt;/sup&gt;" }, "properties" : { "noteIndex" : 0 }, "schema" : "https://github.com/citation-style-language/schema/raw/master/csl-citation.json" }</w:instrText>
      </w:r>
      <w:r w:rsidR="00C96F79" w:rsidRPr="000767AE">
        <w:rPr>
          <w:rFonts w:ascii="Arial" w:hAnsi="Arial" w:cs="Arial"/>
          <w:noProof/>
          <w:sz w:val="24"/>
          <w:szCs w:val="24"/>
          <w:vertAlign w:val="superscript"/>
          <w:lang w:val="en-US"/>
        </w:rPr>
        <w:fldChar w:fldCharType="separate"/>
      </w:r>
      <w:r w:rsidR="009E0BAE" w:rsidRPr="009E0BAE">
        <w:rPr>
          <w:rFonts w:ascii="Arial" w:hAnsi="Arial" w:cs="Arial"/>
          <w:noProof/>
          <w:sz w:val="24"/>
          <w:szCs w:val="24"/>
          <w:vertAlign w:val="superscript"/>
          <w:lang w:val="en-US"/>
        </w:rPr>
        <w:t>99</w:t>
      </w:r>
      <w:r w:rsidR="00C96F79" w:rsidRPr="000767AE">
        <w:rPr>
          <w:rFonts w:ascii="Arial" w:hAnsi="Arial" w:cs="Arial"/>
          <w:noProof/>
          <w:sz w:val="24"/>
          <w:szCs w:val="24"/>
          <w:vertAlign w:val="superscript"/>
          <w:lang w:val="en-US"/>
        </w:rPr>
        <w:fldChar w:fldCharType="end"/>
      </w:r>
      <w:r w:rsidR="00C96F79" w:rsidRPr="000767AE">
        <w:rPr>
          <w:rFonts w:ascii="Arial" w:hAnsi="Arial"/>
          <w:sz w:val="24"/>
        </w:rPr>
        <w:t xml:space="preserve"> For low- and middle-income countries (LMICs), diagnostic options several fold cheaper, with less need of logistic infrastructure, are needed and a focus on chromogenic tests may provide avenues for exploration.</w:t>
      </w:r>
      <w:r w:rsidR="00C96F79" w:rsidRPr="000767AE">
        <w:rPr>
          <w:rFonts w:ascii="Arial" w:hAnsi="Arial" w:cs="Arial"/>
          <w:noProof/>
          <w:sz w:val="24"/>
          <w:szCs w:val="24"/>
          <w:vertAlign w:val="superscript"/>
          <w:lang w:val="en-US"/>
        </w:rPr>
        <w:fldChar w:fldCharType="begin" w:fldLock="1"/>
      </w:r>
      <w:r w:rsidR="009E0BAE">
        <w:rPr>
          <w:rFonts w:ascii="Arial" w:hAnsi="Arial" w:cs="Arial"/>
          <w:noProof/>
          <w:sz w:val="24"/>
          <w:szCs w:val="24"/>
          <w:vertAlign w:val="superscript"/>
          <w:lang w:val="en-US"/>
        </w:rPr>
        <w:instrText>ADDIN CSL_CITATION { "citationItems" : [ { "id" : "ITEM-1", "itemData" : { "author" : [ { "dropping-particle" : "", "family" : "Nordmann", "given" : "Patrice", "non-dropping-particle" : "", "parse-names" : false, "suffix" : "" }, { "dropping-particle" : "", "family" : "Poirel", "given" : "Laurent", "non-dropping-particle" : "", "parse-names" : false, "suffix" : "" }, { "dropping-particle" : "", "family" : "Dortet", "given" : "Laurent", "non-dropping-particle" : "", "parse-names" : false, "suffix" : "" } ], "container-title" : "Emerging Infectious Diseases", "id" : "ITEM-1", "issue" : "9", "issued" : { "date-parts" : [ [ "2012" ] ] }, "page" : "1503-1507", "title" : "Rapid Detection of Carbapenemase producing Enterobacteriaceae", "type" : "article-journal", "volume" : "18" }, "uris" : [ "http://www.mendeley.com/documents/?uuid=a74ee867-d6e2-4cce-b404-c9148c11fdc0" ] } ], "mendeley" : { "formattedCitation" : "&lt;sup&gt;100&lt;/sup&gt;", "plainTextFormattedCitation" : "100", "previouslyFormattedCitation" : "&lt;sup&gt;101&lt;/sup&gt;" }, "properties" : { "noteIndex" : 0 }, "schema" : "https://github.com/citation-style-language/schema/raw/master/csl-citation.json" }</w:instrText>
      </w:r>
      <w:r w:rsidR="00C96F79" w:rsidRPr="000767AE">
        <w:rPr>
          <w:rFonts w:ascii="Arial" w:hAnsi="Arial" w:cs="Arial"/>
          <w:noProof/>
          <w:sz w:val="24"/>
          <w:szCs w:val="24"/>
          <w:vertAlign w:val="superscript"/>
          <w:lang w:val="en-US"/>
        </w:rPr>
        <w:fldChar w:fldCharType="separate"/>
      </w:r>
      <w:r w:rsidR="009E0BAE" w:rsidRPr="009E0BAE">
        <w:rPr>
          <w:rFonts w:ascii="Arial" w:hAnsi="Arial" w:cs="Arial"/>
          <w:noProof/>
          <w:sz w:val="24"/>
          <w:szCs w:val="24"/>
          <w:vertAlign w:val="superscript"/>
          <w:lang w:val="en-US"/>
        </w:rPr>
        <w:t>100</w:t>
      </w:r>
      <w:r w:rsidR="00C96F79" w:rsidRPr="000767AE">
        <w:rPr>
          <w:rFonts w:ascii="Arial" w:hAnsi="Arial" w:cs="Arial"/>
          <w:noProof/>
          <w:sz w:val="24"/>
          <w:szCs w:val="24"/>
          <w:vertAlign w:val="superscript"/>
          <w:lang w:val="en-US"/>
        </w:rPr>
        <w:fldChar w:fldCharType="end"/>
      </w:r>
      <w:r w:rsidR="00C96F79" w:rsidRPr="000767AE">
        <w:rPr>
          <w:rFonts w:ascii="Arial" w:hAnsi="Arial"/>
          <w:sz w:val="24"/>
        </w:rPr>
        <w:t xml:space="preserve"> </w:t>
      </w:r>
    </w:p>
    <w:p w14:paraId="1F60D936" w14:textId="77777777" w:rsidR="00C96F79" w:rsidRPr="000767AE" w:rsidRDefault="00C96F79" w:rsidP="00A053CE">
      <w:pPr>
        <w:pStyle w:val="CommentText"/>
        <w:rPr>
          <w:rFonts w:ascii="Arial" w:hAnsi="Arial" w:cs="Arial"/>
          <w:sz w:val="24"/>
          <w:szCs w:val="24"/>
          <w:lang w:val="en-US"/>
        </w:rPr>
      </w:pPr>
    </w:p>
    <w:p w14:paraId="5D080CB7" w14:textId="0E762EEE" w:rsidR="00A053CE" w:rsidRPr="000767AE" w:rsidRDefault="00C96F79" w:rsidP="00A053CE">
      <w:pPr>
        <w:pStyle w:val="CommentText"/>
        <w:rPr>
          <w:rFonts w:ascii="Arial" w:hAnsi="Arial"/>
          <w:sz w:val="24"/>
        </w:rPr>
      </w:pPr>
      <w:r w:rsidRPr="000767AE">
        <w:rPr>
          <w:rFonts w:ascii="Arial" w:hAnsi="Arial" w:cs="Arial"/>
          <w:sz w:val="24"/>
          <w:szCs w:val="24"/>
          <w:lang w:val="en-US"/>
        </w:rPr>
        <w:t xml:space="preserve">Third, </w:t>
      </w:r>
      <w:r w:rsidR="00A053CE" w:rsidRPr="000767AE">
        <w:rPr>
          <w:rFonts w:ascii="Arial" w:hAnsi="Arial" w:cs="Arial"/>
          <w:sz w:val="24"/>
          <w:szCs w:val="24"/>
          <w:lang w:val="en-US"/>
        </w:rPr>
        <w:t xml:space="preserve">whilst </w:t>
      </w:r>
      <w:r w:rsidR="00A32FE8" w:rsidRPr="000767AE">
        <w:rPr>
          <w:rFonts w:ascii="Arial" w:hAnsi="Arial" w:cs="Arial"/>
          <w:sz w:val="24"/>
          <w:szCs w:val="24"/>
          <w:lang w:val="en-US"/>
        </w:rPr>
        <w:t xml:space="preserve">new drug discovery </w:t>
      </w:r>
      <w:r w:rsidR="00A053CE" w:rsidRPr="000767AE">
        <w:rPr>
          <w:rFonts w:ascii="Arial" w:hAnsi="Arial" w:cs="Arial"/>
          <w:sz w:val="24"/>
          <w:szCs w:val="24"/>
          <w:lang w:val="en-US"/>
        </w:rPr>
        <w:t xml:space="preserve">is </w:t>
      </w:r>
      <w:r w:rsidR="006B7C9B" w:rsidRPr="000767AE">
        <w:rPr>
          <w:rFonts w:ascii="Arial" w:hAnsi="Arial" w:cs="Arial"/>
          <w:sz w:val="24"/>
          <w:szCs w:val="24"/>
          <w:lang w:val="en-US"/>
        </w:rPr>
        <w:t>essential</w:t>
      </w:r>
      <w:r w:rsidR="00A053CE" w:rsidRPr="009C5623">
        <w:rPr>
          <w:rFonts w:ascii="Arial" w:hAnsi="Arial" w:cs="Arial"/>
          <w:sz w:val="24"/>
          <w:szCs w:val="24"/>
          <w:highlight w:val="yellow"/>
          <w:lang w:val="en-US"/>
        </w:rPr>
        <w:t>,</w:t>
      </w:r>
      <w:r w:rsidR="002B2804" w:rsidRPr="000767AE">
        <w:rPr>
          <w:rFonts w:ascii="Arial" w:hAnsi="Arial" w:cs="Arial"/>
          <w:sz w:val="24"/>
          <w:szCs w:val="24"/>
          <w:lang w:val="en-US"/>
        </w:rPr>
        <w:t xml:space="preserve"> and through use of novel laboratory methods has recently taken a leap forward,</w:t>
      </w:r>
      <w:r w:rsidR="002B2804" w:rsidRPr="000767AE">
        <w:rPr>
          <w:rFonts w:ascii="Arial" w:hAnsi="Arial" w:cs="Arial"/>
          <w:sz w:val="24"/>
          <w:szCs w:val="24"/>
          <w:lang w:val="en-US"/>
        </w:rPr>
        <w:fldChar w:fldCharType="begin" w:fldLock="1"/>
      </w:r>
      <w:r w:rsidR="009E0BAE">
        <w:rPr>
          <w:rFonts w:ascii="Arial" w:hAnsi="Arial" w:cs="Arial"/>
          <w:sz w:val="24"/>
          <w:szCs w:val="24"/>
          <w:lang w:val="en-US"/>
        </w:rPr>
        <w:instrText>ADDIN CSL_CITATION { "citationItems" : [ { "id" : "ITEM-1", "itemData" : { "DOI" : "10.1038/nature14098", "author" : [ { "dropping-particle" : "", "family" : "Ling", "given" : "Losee L", "non-dropping-particle" : "", "parse-names" : false, "suffix" : "" }, { "dropping-particle" : "", "family" : "Schneider", "given" : "Tanja", "non-dropping-particle" : "", "parse-names" : false, "suffix" : "" }, { "dropping-particle" : "", "family" : "Peoples", "given" : "Aaron J", "non-dropping-particle" : "", "parse-names" : false, "suffix" : "" }, { "dropping-particle" : "", "family" : "Spoering", "given" : "Amy L", "non-dropping-particle" : "", "parse-names" : false, "suffix" : "" }, { "dropping-particle" : "", "family" : "Engels", "given" : "Ina", "non-dropping-particle" : "", "parse-names" : false, "suffix" : "" }, { "dropping-particle" : "", "family" : "Conlon", "given" : "Brian P", "non-dropping-particle" : "", "parse-names" : false, "suffix" : "" }, { "dropping-particle" : "", "family" : "Mueller", "given" : "Anna", "non-dropping-particle" : "", "parse-names" : false, "suffix" : "" }, { "dropping-particle" : "", "family" : "Hughes", "given" : "Dallas E", "non-dropping-particle" : "", "parse-names" : false, "suffix" : "" }, { "dropping-particle" : "", "family" : "Epstein", "given" : "Slava", "non-dropping-particle" : "", "parse-names" : false, "suffix" : "" }, { "dropping-particle" : "", "family" : "Jones", "given" : "Michael", "non-dropping-particle" : "", "parse-names" : false, "suffix" : "" }, { "dropping-particle" : "", "family" : "Lazarides", "given" : "Linos", "non-dropping-particle" : "", "parse-names" : false, "suffix" : "" }, { "dropping-particle" : "", "family" : "Steadman", "given" : "Victoria A", "non-dropping-particle" : "", "parse-names" : false, "suffix" : "" }, { "dropping-particle" : "", "family" : "Cohen", "given" : "Douglas R", "non-dropping-particle" : "", "parse-names" : false, "suffix" : "" }, { "dropping-particle" : "", "family" : "Felix", "given" : "Cintia R", "non-dropping-particle" : "", "parse-names" : false, "suffix" : "" }, { "dropping-particle" : "", "family" : "Fetterman", "given" : "K Ashley", "non-dropping-particle" : "", "parse-names" : false, "suffix" : "" }, { "dropping-particle" : "", "family" : "Millett", "given" : "William P", "non-dropping-particle" : "", "parse-names" : false, "suffix" : "" }, { "dropping-particle" : "", "family" : "Nitti", "given" : "Anthony G", "non-dropping-particle" : "", "parse-names" : false, "suffix" : "" }, { "dropping-particle" : "", "family" : "Zullo", "given" : "Ashley M", "non-dropping-particle" : "", "parse-names" : false, "suffix" : "" }, { "dropping-particle" : "", "family" : "Chen", "given" : "Chao", "non-dropping-particle" : "", "parse-names" : false, "suffix" : "" }, { "dropping-particle" : "", "family" : "Lewis", "given" : "Kim", "non-dropping-particle" : "", "parse-names" : false, "suffix" : "" } ], "container-title" : "Nature", "id" : "ITEM-1", "issued" : { "date-parts" : [ [ "2015" ] ] }, "page" : "[epub ahead of print]", "title" : "A new antibiotic kills pathogens without detectable resistance", "type" : "article-journal" }, "uris" : [ "http://www.mendeley.com/documents/?uuid=e1556a12-fe6f-45f0-a54f-0a07b359732c" ] } ], "mendeley" : { "formattedCitation" : "&lt;sup&gt;101&lt;/sup&gt;", "plainTextFormattedCitation" : "101", "previouslyFormattedCitation" : "&lt;sup&gt;102&lt;/sup&gt;" }, "properties" : { "noteIndex" : 0 }, "schema" : "https://github.com/citation-style-language/schema/raw/master/csl-citation.json" }</w:instrText>
      </w:r>
      <w:r w:rsidR="002B2804" w:rsidRPr="000767AE">
        <w:rPr>
          <w:rFonts w:ascii="Arial" w:hAnsi="Arial" w:cs="Arial"/>
          <w:sz w:val="24"/>
          <w:szCs w:val="24"/>
          <w:lang w:val="en-US"/>
        </w:rPr>
        <w:fldChar w:fldCharType="separate"/>
      </w:r>
      <w:r w:rsidR="009E0BAE" w:rsidRPr="009E0BAE">
        <w:rPr>
          <w:rFonts w:ascii="Arial" w:hAnsi="Arial" w:cs="Arial"/>
          <w:noProof/>
          <w:sz w:val="24"/>
          <w:szCs w:val="24"/>
          <w:vertAlign w:val="superscript"/>
          <w:lang w:val="en-US"/>
        </w:rPr>
        <w:t>101</w:t>
      </w:r>
      <w:r w:rsidR="002B2804" w:rsidRPr="000767AE">
        <w:rPr>
          <w:rFonts w:ascii="Arial" w:hAnsi="Arial" w:cs="Arial"/>
          <w:sz w:val="24"/>
          <w:szCs w:val="24"/>
          <w:lang w:val="en-US"/>
        </w:rPr>
        <w:fldChar w:fldCharType="end"/>
      </w:r>
      <w:r w:rsidR="00A053CE" w:rsidRPr="000767AE">
        <w:rPr>
          <w:rFonts w:ascii="Arial" w:hAnsi="Arial" w:cs="Arial"/>
          <w:sz w:val="24"/>
          <w:szCs w:val="24"/>
          <w:lang w:val="en-US"/>
        </w:rPr>
        <w:t xml:space="preserve"> research on the quality of currently used antimicrobial</w:t>
      </w:r>
      <w:r w:rsidR="006B7C9B" w:rsidRPr="000767AE">
        <w:rPr>
          <w:rFonts w:ascii="Arial" w:hAnsi="Arial" w:cs="Arial"/>
          <w:sz w:val="24"/>
          <w:szCs w:val="24"/>
          <w:lang w:val="en-US"/>
        </w:rPr>
        <w:t>s</w:t>
      </w:r>
      <w:r w:rsidR="00A053CE" w:rsidRPr="000767AE">
        <w:rPr>
          <w:rFonts w:ascii="Arial" w:hAnsi="Arial" w:cs="Arial"/>
          <w:sz w:val="24"/>
          <w:szCs w:val="24"/>
          <w:lang w:val="en-US"/>
        </w:rPr>
        <w:t xml:space="preserve"> is also urgently needed. </w:t>
      </w:r>
      <w:r w:rsidR="00A053CE" w:rsidRPr="000767AE">
        <w:rPr>
          <w:rFonts w:ascii="Arial" w:hAnsi="Arial"/>
          <w:sz w:val="24"/>
        </w:rPr>
        <w:t>Th</w:t>
      </w:r>
      <w:r w:rsidR="00947EC3" w:rsidRPr="000767AE">
        <w:rPr>
          <w:rFonts w:ascii="Arial" w:hAnsi="Arial"/>
          <w:sz w:val="24"/>
        </w:rPr>
        <w:t>e issue of substandard antimicrobial</w:t>
      </w:r>
      <w:r w:rsidR="00C65C04" w:rsidRPr="000767AE">
        <w:rPr>
          <w:rFonts w:ascii="Arial" w:hAnsi="Arial"/>
          <w:sz w:val="24"/>
        </w:rPr>
        <w:t>s</w:t>
      </w:r>
      <w:r w:rsidR="00947EC3" w:rsidRPr="000767AE">
        <w:rPr>
          <w:rFonts w:ascii="Arial" w:hAnsi="Arial"/>
          <w:sz w:val="24"/>
        </w:rPr>
        <w:t xml:space="preserve"> </w:t>
      </w:r>
      <w:r w:rsidR="00A053CE" w:rsidRPr="000767AE">
        <w:rPr>
          <w:rFonts w:ascii="Arial" w:hAnsi="Arial"/>
          <w:sz w:val="24"/>
        </w:rPr>
        <w:t xml:space="preserve">is </w:t>
      </w:r>
      <w:r w:rsidR="00DD3308" w:rsidRPr="000767AE">
        <w:rPr>
          <w:rFonts w:ascii="Arial" w:hAnsi="Arial"/>
          <w:sz w:val="24"/>
        </w:rPr>
        <w:t xml:space="preserve">a potentially </w:t>
      </w:r>
      <w:r w:rsidR="005E46D3" w:rsidRPr="000767AE">
        <w:rPr>
          <w:rFonts w:ascii="Arial" w:hAnsi="Arial"/>
          <w:sz w:val="24"/>
        </w:rPr>
        <w:t xml:space="preserve">significant </w:t>
      </w:r>
      <w:r w:rsidR="00A053CE" w:rsidRPr="000767AE">
        <w:rPr>
          <w:rFonts w:ascii="Arial" w:hAnsi="Arial"/>
          <w:sz w:val="24"/>
        </w:rPr>
        <w:t xml:space="preserve">driver of resistance and little is known on the </w:t>
      </w:r>
      <w:r w:rsidR="003008F7" w:rsidRPr="000767AE">
        <w:rPr>
          <w:rFonts w:ascii="Arial" w:hAnsi="Arial"/>
          <w:sz w:val="24"/>
        </w:rPr>
        <w:t xml:space="preserve">international extent </w:t>
      </w:r>
      <w:r w:rsidR="00A053CE" w:rsidRPr="000767AE">
        <w:rPr>
          <w:rFonts w:ascii="Arial" w:hAnsi="Arial"/>
          <w:sz w:val="24"/>
        </w:rPr>
        <w:t>of the problem</w:t>
      </w:r>
      <w:r w:rsidR="009C5623" w:rsidRPr="009C5623">
        <w:rPr>
          <w:rFonts w:ascii="Arial" w:hAnsi="Arial"/>
          <w:sz w:val="24"/>
          <w:highlight w:val="yellow"/>
        </w:rPr>
        <w:t>.</w:t>
      </w:r>
      <w:r w:rsidR="009C5623" w:rsidRPr="009C5623">
        <w:rPr>
          <w:rFonts w:ascii="Arial" w:hAnsi="Arial"/>
          <w:sz w:val="24"/>
          <w:highlight w:val="yellow"/>
        </w:rPr>
        <w:fldChar w:fldCharType="begin" w:fldLock="1"/>
      </w:r>
      <w:r w:rsidR="009C5623" w:rsidRPr="009C5623">
        <w:rPr>
          <w:rFonts w:ascii="Arial" w:hAnsi="Arial"/>
          <w:sz w:val="24"/>
          <w:highlight w:val="yellow"/>
        </w:rPr>
        <w:instrText>ADDIN CSL_CITATION { "citationItems" : [ { "id" : "ITEM-1", "itemData" : { "author" : [ { "dropping-particle" : "", "family" : "Mendelson", "given" : "Marc", "non-dropping-particle" : "", "parse-names" : false, "suffix" : "" }, { "dropping-particle" : "", "family" : "Balasegaram", "given" : "Manica", "non-dropping-particle" : "", "parse-names" : false, "suffix" : "" }, { "dropping-particle" : "", "family" : "Gopinathan", "given" : "Unni", "non-dropping-particle" : "", "parse-names" : false, "suffix" : "" }, { "dropping-particle" : "", "family" : "Hamer", "given" : "Davidson H", "non-dropping-particle" : "", "parse-names" : false, "suffix" : "" }, { "dropping-particle" : "", "family" : "Wertheim", "given" : "Heiman", "non-dropping-particle" : "", "parse-names" : false, "suffix" : "" }, { "dropping-particle" : "", "family" : "Basnyat", "given" : "Buddha", "non-dropping-particle" : "", "parse-names" : false, "suffix" : "" }, { "dropping-particle" : "", "family" : "Butler", "given" : "Christopher", "non-dropping-particle" : "", "parse-names" : false, "suffix" : "" }, { "dropping-particle" : "", "family" : "Tomson", "given" : "Goran", "non-dropping-particle" : "", "parse-names" : false, "suffix" : "" } ], "container-title" : "The Lancet", "id" : "ITEM-1", "issued" : { "date-parts" : [ [ "2015" ] ] }, "page" : "[under review]", "title" : "Maximising access whilst curbing excess: achieving appropriate human antimicrobial use in low and middle income countries", "type" : "article-journal" }, "uris" : [ "http://www.mendeley.com/documents/?uuid=0d943487-97f5-4f75-939a-2018fe556c0b" ] } ], "mendeley" : { "formattedCitation" : "&lt;sup&gt;2&lt;/sup&gt;", "plainTextFormattedCitation" : "2", "previouslyFormattedCitation" : "&lt;sup&gt;2&lt;/sup&gt;" }, "properties" : { "noteIndex" : 0 }, "schema" : "https://github.com/citation-style-language/schema/raw/master/csl-citation.json" }</w:instrText>
      </w:r>
      <w:r w:rsidR="009C5623" w:rsidRPr="009C5623">
        <w:rPr>
          <w:rFonts w:ascii="Arial" w:hAnsi="Arial"/>
          <w:sz w:val="24"/>
          <w:highlight w:val="yellow"/>
        </w:rPr>
        <w:fldChar w:fldCharType="separate"/>
      </w:r>
      <w:r w:rsidR="009C5623" w:rsidRPr="009C5623">
        <w:rPr>
          <w:rFonts w:ascii="Arial" w:hAnsi="Arial"/>
          <w:noProof/>
          <w:sz w:val="24"/>
          <w:highlight w:val="yellow"/>
          <w:vertAlign w:val="superscript"/>
        </w:rPr>
        <w:t>2</w:t>
      </w:r>
      <w:r w:rsidR="009C5623" w:rsidRPr="009C5623">
        <w:rPr>
          <w:rFonts w:ascii="Arial" w:hAnsi="Arial"/>
          <w:sz w:val="24"/>
          <w:highlight w:val="yellow"/>
        </w:rPr>
        <w:fldChar w:fldCharType="end"/>
      </w:r>
      <w:r w:rsidR="0081077D" w:rsidRPr="000767AE">
        <w:rPr>
          <w:rFonts w:ascii="Arial" w:hAnsi="Arial"/>
          <w:sz w:val="24"/>
        </w:rPr>
        <w:t xml:space="preserve"> </w:t>
      </w:r>
      <w:r w:rsidR="00A053CE" w:rsidRPr="000767AE">
        <w:rPr>
          <w:rFonts w:ascii="Arial" w:hAnsi="Arial"/>
          <w:sz w:val="24"/>
        </w:rPr>
        <w:t>Engaging policy makers, prescribers, antimicrobial providers</w:t>
      </w:r>
      <w:r w:rsidRPr="000767AE">
        <w:rPr>
          <w:rFonts w:ascii="Arial" w:hAnsi="Arial"/>
          <w:sz w:val="24"/>
        </w:rPr>
        <w:t>,</w:t>
      </w:r>
      <w:r w:rsidR="00A053CE" w:rsidRPr="000767AE">
        <w:rPr>
          <w:rFonts w:ascii="Arial" w:hAnsi="Arial"/>
          <w:sz w:val="24"/>
        </w:rPr>
        <w:t xml:space="preserve"> and the public in ensuring access</w:t>
      </w:r>
      <w:r w:rsidR="00A32FE8" w:rsidRPr="000767AE">
        <w:rPr>
          <w:rFonts w:ascii="Arial" w:hAnsi="Arial"/>
          <w:sz w:val="24"/>
        </w:rPr>
        <w:t xml:space="preserve"> and assuring quality </w:t>
      </w:r>
      <w:r w:rsidRPr="000767AE">
        <w:rPr>
          <w:rFonts w:ascii="Arial" w:hAnsi="Arial"/>
          <w:sz w:val="24"/>
        </w:rPr>
        <w:t>of</w:t>
      </w:r>
      <w:r w:rsidR="00A32FE8" w:rsidRPr="000767AE">
        <w:rPr>
          <w:rFonts w:ascii="Arial" w:hAnsi="Arial"/>
          <w:sz w:val="24"/>
        </w:rPr>
        <w:t xml:space="preserve"> </w:t>
      </w:r>
      <w:r w:rsidR="00A053CE" w:rsidRPr="000767AE">
        <w:rPr>
          <w:rFonts w:ascii="Arial" w:hAnsi="Arial"/>
          <w:sz w:val="24"/>
        </w:rPr>
        <w:t xml:space="preserve">antimicrobials must be an essential component of addressing </w:t>
      </w:r>
      <w:r w:rsidR="003008F7" w:rsidRPr="000767AE">
        <w:rPr>
          <w:rFonts w:ascii="Arial" w:hAnsi="Arial"/>
          <w:sz w:val="24"/>
        </w:rPr>
        <w:t>AMR</w:t>
      </w:r>
      <w:r w:rsidR="00A053CE" w:rsidRPr="000767AE">
        <w:rPr>
          <w:rFonts w:ascii="Arial" w:hAnsi="Arial"/>
          <w:sz w:val="24"/>
        </w:rPr>
        <w:t>.</w:t>
      </w:r>
    </w:p>
    <w:p w14:paraId="18DCA099" w14:textId="77777777" w:rsidR="00A053CE" w:rsidRPr="000767AE" w:rsidRDefault="00A053CE" w:rsidP="00A053CE">
      <w:pPr>
        <w:rPr>
          <w:rFonts w:ascii="Arial" w:hAnsi="Arial"/>
          <w:sz w:val="24"/>
        </w:rPr>
      </w:pPr>
    </w:p>
    <w:p w14:paraId="197F654C" w14:textId="16D4E0F8" w:rsidR="00C96F79" w:rsidRPr="000767AE" w:rsidRDefault="00C96F79" w:rsidP="00C96F79">
      <w:pPr>
        <w:rPr>
          <w:rFonts w:ascii="Arial" w:hAnsi="Arial"/>
          <w:sz w:val="24"/>
        </w:rPr>
      </w:pPr>
      <w:r w:rsidRPr="000767AE">
        <w:rPr>
          <w:rFonts w:ascii="Arial" w:hAnsi="Arial"/>
          <w:sz w:val="24"/>
        </w:rPr>
        <w:t>Fourth</w:t>
      </w:r>
      <w:r w:rsidR="00A053CE" w:rsidRPr="000767AE">
        <w:rPr>
          <w:rFonts w:ascii="Arial" w:hAnsi="Arial"/>
          <w:sz w:val="24"/>
        </w:rPr>
        <w:t xml:space="preserve">, understanding how to effectively reduce the prevalence of resistant </w:t>
      </w:r>
      <w:r w:rsidR="000B14E1" w:rsidRPr="000767AE">
        <w:rPr>
          <w:rFonts w:ascii="Arial" w:hAnsi="Arial"/>
          <w:sz w:val="24"/>
        </w:rPr>
        <w:t xml:space="preserve">organisms </w:t>
      </w:r>
      <w:r w:rsidR="00A053CE" w:rsidRPr="000767AE">
        <w:rPr>
          <w:rFonts w:ascii="Arial" w:hAnsi="Arial"/>
          <w:sz w:val="24"/>
        </w:rPr>
        <w:t>and their transmission underpins much of the research required. In the context of human</w:t>
      </w:r>
      <w:r w:rsidR="00A32FE8" w:rsidRPr="000767AE">
        <w:rPr>
          <w:rFonts w:ascii="Arial" w:hAnsi="Arial"/>
          <w:sz w:val="24"/>
        </w:rPr>
        <w:t>-human</w:t>
      </w:r>
      <w:r w:rsidR="00A053CE" w:rsidRPr="000767AE">
        <w:rPr>
          <w:rFonts w:ascii="Arial" w:hAnsi="Arial"/>
          <w:sz w:val="24"/>
        </w:rPr>
        <w:t xml:space="preserve"> transmission, delineating not just effective, but cost effective interventions to optimise </w:t>
      </w:r>
      <w:r w:rsidR="00A32FE8" w:rsidRPr="000767AE">
        <w:rPr>
          <w:rFonts w:ascii="Arial" w:hAnsi="Arial"/>
          <w:sz w:val="24"/>
        </w:rPr>
        <w:t>antimicrobial use</w:t>
      </w:r>
      <w:r w:rsidR="00C65C04" w:rsidRPr="000767AE">
        <w:rPr>
          <w:rFonts w:ascii="Arial" w:hAnsi="Arial"/>
          <w:sz w:val="24"/>
        </w:rPr>
        <w:t>,</w:t>
      </w:r>
      <w:r w:rsidR="00676707" w:rsidRPr="000767AE">
        <w:rPr>
          <w:rFonts w:ascii="Arial" w:hAnsi="Arial"/>
          <w:sz w:val="24"/>
        </w:rPr>
        <w:t xml:space="preserve"> minimise transmission</w:t>
      </w:r>
      <w:r w:rsidR="00C65C04" w:rsidRPr="000767AE">
        <w:rPr>
          <w:rFonts w:ascii="Arial" w:hAnsi="Arial"/>
          <w:sz w:val="24"/>
        </w:rPr>
        <w:t>,</w:t>
      </w:r>
      <w:r w:rsidR="00676707" w:rsidRPr="000767AE">
        <w:rPr>
          <w:rFonts w:ascii="Arial" w:hAnsi="Arial"/>
          <w:sz w:val="24"/>
        </w:rPr>
        <w:t xml:space="preserve"> </w:t>
      </w:r>
      <w:r w:rsidR="00C65C04" w:rsidRPr="000767AE">
        <w:rPr>
          <w:rFonts w:ascii="Arial" w:hAnsi="Arial"/>
          <w:sz w:val="24"/>
        </w:rPr>
        <w:t xml:space="preserve">and </w:t>
      </w:r>
      <w:r w:rsidR="00E62A50" w:rsidRPr="000767AE">
        <w:rPr>
          <w:rFonts w:ascii="Arial" w:hAnsi="Arial"/>
          <w:sz w:val="24"/>
        </w:rPr>
        <w:t xml:space="preserve">prevent </w:t>
      </w:r>
      <w:r w:rsidR="008737BB" w:rsidRPr="000767AE">
        <w:rPr>
          <w:rFonts w:ascii="Arial" w:hAnsi="Arial"/>
          <w:sz w:val="24"/>
        </w:rPr>
        <w:t>environment</w:t>
      </w:r>
      <w:r w:rsidR="005C7D92" w:rsidRPr="000767AE">
        <w:rPr>
          <w:rFonts w:ascii="Arial" w:hAnsi="Arial"/>
          <w:sz w:val="24"/>
        </w:rPr>
        <w:t>al contamination</w:t>
      </w:r>
      <w:r w:rsidR="008737BB" w:rsidRPr="000767AE">
        <w:rPr>
          <w:rFonts w:ascii="Arial" w:hAnsi="Arial"/>
          <w:sz w:val="24"/>
        </w:rPr>
        <w:t xml:space="preserve"> </w:t>
      </w:r>
      <w:r w:rsidR="003008F7" w:rsidRPr="000767AE">
        <w:rPr>
          <w:rFonts w:ascii="Arial" w:hAnsi="Arial"/>
          <w:sz w:val="24"/>
        </w:rPr>
        <w:t>with</w:t>
      </w:r>
      <w:r w:rsidR="008737BB" w:rsidRPr="000767AE">
        <w:rPr>
          <w:rFonts w:ascii="Arial" w:hAnsi="Arial"/>
          <w:sz w:val="24"/>
        </w:rPr>
        <w:t xml:space="preserve"> AMR</w:t>
      </w:r>
      <w:r w:rsidR="00234CF3" w:rsidRPr="000767AE">
        <w:rPr>
          <w:rFonts w:ascii="Arial" w:hAnsi="Arial"/>
          <w:sz w:val="24"/>
        </w:rPr>
        <w:t xml:space="preserve"> and anti</w:t>
      </w:r>
      <w:r w:rsidR="005A7274" w:rsidRPr="000767AE">
        <w:rPr>
          <w:rFonts w:ascii="Arial" w:hAnsi="Arial"/>
          <w:sz w:val="24"/>
        </w:rPr>
        <w:t>microbials</w:t>
      </w:r>
      <w:r w:rsidR="00BA0F88" w:rsidRPr="000767AE">
        <w:rPr>
          <w:rFonts w:ascii="Arial" w:hAnsi="Arial"/>
          <w:sz w:val="24"/>
        </w:rPr>
        <w:t xml:space="preserve"> is essential</w:t>
      </w:r>
      <w:r w:rsidR="008737BB" w:rsidRPr="000767AE">
        <w:rPr>
          <w:rFonts w:ascii="Arial" w:hAnsi="Arial"/>
          <w:sz w:val="24"/>
        </w:rPr>
        <w:t xml:space="preserve">. </w:t>
      </w:r>
      <w:r w:rsidR="008737BB" w:rsidRPr="000767AE">
        <w:t xml:space="preserve"> </w:t>
      </w:r>
      <w:r w:rsidR="008737BB" w:rsidRPr="000767AE">
        <w:rPr>
          <w:rFonts w:ascii="Arial" w:hAnsi="Arial"/>
          <w:sz w:val="24"/>
        </w:rPr>
        <w:t>A</w:t>
      </w:r>
      <w:r w:rsidR="00A053CE" w:rsidRPr="000767AE">
        <w:rPr>
          <w:rFonts w:ascii="Arial" w:hAnsi="Arial"/>
          <w:sz w:val="24"/>
        </w:rPr>
        <w:t>ddressing th</w:t>
      </w:r>
      <w:r w:rsidR="008737BB" w:rsidRPr="000767AE">
        <w:rPr>
          <w:rFonts w:ascii="Arial" w:hAnsi="Arial"/>
          <w:sz w:val="24"/>
        </w:rPr>
        <w:t>is</w:t>
      </w:r>
      <w:r w:rsidR="00A053CE" w:rsidRPr="000767AE">
        <w:rPr>
          <w:rFonts w:ascii="Arial" w:hAnsi="Arial"/>
          <w:sz w:val="24"/>
        </w:rPr>
        <w:t xml:space="preserve"> balance </w:t>
      </w:r>
      <w:r w:rsidR="003008F7" w:rsidRPr="000767AE">
        <w:rPr>
          <w:rFonts w:ascii="Arial" w:hAnsi="Arial"/>
          <w:sz w:val="24"/>
        </w:rPr>
        <w:t>through</w:t>
      </w:r>
      <w:r w:rsidR="00A053CE" w:rsidRPr="000767AE">
        <w:rPr>
          <w:rFonts w:ascii="Arial" w:hAnsi="Arial"/>
          <w:sz w:val="24"/>
        </w:rPr>
        <w:t xml:space="preserve"> minimising antimicrobial use in agri</w:t>
      </w:r>
      <w:r w:rsidR="005B1087" w:rsidRPr="000767AE">
        <w:rPr>
          <w:rFonts w:ascii="Arial" w:hAnsi="Arial"/>
          <w:sz w:val="24"/>
        </w:rPr>
        <w:t>- and aqua</w:t>
      </w:r>
      <w:r w:rsidR="00A053CE" w:rsidRPr="000767AE">
        <w:rPr>
          <w:rFonts w:ascii="Arial" w:hAnsi="Arial"/>
          <w:sz w:val="24"/>
        </w:rPr>
        <w:t>culture</w:t>
      </w:r>
      <w:r w:rsidR="008737BB" w:rsidRPr="000767AE">
        <w:rPr>
          <w:rFonts w:ascii="Arial" w:hAnsi="Arial"/>
          <w:sz w:val="24"/>
        </w:rPr>
        <w:t>,</w:t>
      </w:r>
      <w:r w:rsidR="00A053CE" w:rsidRPr="000767AE">
        <w:rPr>
          <w:rFonts w:ascii="Arial" w:hAnsi="Arial"/>
          <w:sz w:val="24"/>
        </w:rPr>
        <w:t xml:space="preserve"> whilst meeting </w:t>
      </w:r>
      <w:r w:rsidR="00676707" w:rsidRPr="000767AE">
        <w:rPr>
          <w:rFonts w:ascii="Arial" w:hAnsi="Arial"/>
          <w:sz w:val="24"/>
        </w:rPr>
        <w:t xml:space="preserve">the </w:t>
      </w:r>
      <w:r w:rsidR="00A053CE" w:rsidRPr="000767AE">
        <w:rPr>
          <w:rFonts w:ascii="Arial" w:hAnsi="Arial"/>
          <w:sz w:val="24"/>
        </w:rPr>
        <w:t xml:space="preserve">ever increasing </w:t>
      </w:r>
      <w:r w:rsidR="00676707" w:rsidRPr="000767AE">
        <w:rPr>
          <w:rFonts w:ascii="Arial" w:hAnsi="Arial"/>
          <w:sz w:val="24"/>
        </w:rPr>
        <w:t xml:space="preserve">global </w:t>
      </w:r>
      <w:r w:rsidR="00A053CE" w:rsidRPr="000767AE">
        <w:rPr>
          <w:rFonts w:ascii="Arial" w:hAnsi="Arial"/>
          <w:sz w:val="24"/>
        </w:rPr>
        <w:t>food demands</w:t>
      </w:r>
      <w:r w:rsidR="00C65C04" w:rsidRPr="000767AE">
        <w:rPr>
          <w:rFonts w:ascii="Arial" w:hAnsi="Arial"/>
          <w:sz w:val="24"/>
        </w:rPr>
        <w:t>,</w:t>
      </w:r>
      <w:r w:rsidR="00A053CE" w:rsidRPr="000767AE">
        <w:rPr>
          <w:rFonts w:ascii="Arial" w:hAnsi="Arial"/>
          <w:sz w:val="24"/>
        </w:rPr>
        <w:t xml:space="preserve"> is </w:t>
      </w:r>
      <w:r w:rsidR="00BA0F88" w:rsidRPr="000767AE">
        <w:rPr>
          <w:rFonts w:ascii="Arial" w:hAnsi="Arial"/>
          <w:sz w:val="24"/>
        </w:rPr>
        <w:t xml:space="preserve">also </w:t>
      </w:r>
      <w:r w:rsidR="00A053CE" w:rsidRPr="000767AE">
        <w:rPr>
          <w:rFonts w:ascii="Arial" w:hAnsi="Arial"/>
          <w:sz w:val="24"/>
        </w:rPr>
        <w:t>a fundamental challenge.</w:t>
      </w:r>
      <w:r w:rsidR="008235C2" w:rsidRPr="000767AE">
        <w:rPr>
          <w:rFonts w:ascii="Arial" w:hAnsi="Arial"/>
          <w:sz w:val="24"/>
        </w:rPr>
        <w:t xml:space="preserve"> A</w:t>
      </w:r>
      <w:r w:rsidR="00FD7FBC" w:rsidRPr="000767AE">
        <w:rPr>
          <w:rFonts w:ascii="Arial" w:hAnsi="Arial"/>
          <w:sz w:val="24"/>
        </w:rPr>
        <w:t>dopting a</w:t>
      </w:r>
      <w:r w:rsidR="008235C2" w:rsidRPr="000767AE">
        <w:rPr>
          <w:rFonts w:ascii="Arial" w:hAnsi="Arial"/>
          <w:sz w:val="24"/>
        </w:rPr>
        <w:t xml:space="preserve"> 'One Health' lens</w:t>
      </w:r>
      <w:r w:rsidR="00FD7FBC" w:rsidRPr="000767AE">
        <w:rPr>
          <w:rFonts w:ascii="Arial" w:hAnsi="Arial"/>
          <w:sz w:val="24"/>
        </w:rPr>
        <w:t xml:space="preserve"> to identify gaps in understanding at these interfaces, and then construct integrated research strategies to bridge them, is likely to be a productive way forward</w:t>
      </w:r>
      <w:r w:rsidR="008235C2" w:rsidRPr="000767AE">
        <w:rPr>
          <w:rFonts w:ascii="Arial" w:hAnsi="Arial"/>
          <w:sz w:val="24"/>
        </w:rPr>
        <w:t>.</w:t>
      </w:r>
      <w:r w:rsidR="00A053CE" w:rsidRPr="000767AE">
        <w:rPr>
          <w:rFonts w:ascii="Arial" w:hAnsi="Arial"/>
          <w:sz w:val="24"/>
        </w:rPr>
        <w:t xml:space="preserve"> </w:t>
      </w:r>
      <w:r w:rsidRPr="000767AE">
        <w:rPr>
          <w:rFonts w:ascii="Arial" w:hAnsi="Arial"/>
          <w:sz w:val="24"/>
        </w:rPr>
        <w:t>Inherent in this</w:t>
      </w:r>
      <w:r w:rsidR="00BA0F88" w:rsidRPr="000767AE">
        <w:rPr>
          <w:rFonts w:ascii="Arial" w:hAnsi="Arial"/>
          <w:sz w:val="24"/>
        </w:rPr>
        <w:t xml:space="preserve"> area of research</w:t>
      </w:r>
      <w:r w:rsidRPr="000767AE">
        <w:rPr>
          <w:rFonts w:ascii="Arial" w:hAnsi="Arial"/>
          <w:sz w:val="24"/>
        </w:rPr>
        <w:t xml:space="preserve"> is improving fine resolution surveillance to identify associations between antimicrobial use and abuse, </w:t>
      </w:r>
      <w:r w:rsidR="008E10C3" w:rsidRPr="000767AE">
        <w:rPr>
          <w:rFonts w:ascii="Arial" w:hAnsi="Arial"/>
          <w:sz w:val="24"/>
        </w:rPr>
        <w:t xml:space="preserve">and </w:t>
      </w:r>
      <w:r w:rsidRPr="000767AE">
        <w:rPr>
          <w:rFonts w:ascii="Arial" w:hAnsi="Arial"/>
          <w:sz w:val="24"/>
        </w:rPr>
        <w:t xml:space="preserve">to clearly identify </w:t>
      </w:r>
      <w:r w:rsidR="008E10C3" w:rsidRPr="000767AE">
        <w:rPr>
          <w:rFonts w:ascii="Arial" w:hAnsi="Arial"/>
          <w:sz w:val="24"/>
        </w:rPr>
        <w:t>successful</w:t>
      </w:r>
      <w:r w:rsidRPr="000767AE">
        <w:rPr>
          <w:rFonts w:ascii="Arial" w:hAnsi="Arial"/>
          <w:sz w:val="24"/>
        </w:rPr>
        <w:t xml:space="preserve"> interventions. However</w:t>
      </w:r>
      <w:r w:rsidR="008E10C3" w:rsidRPr="000767AE">
        <w:rPr>
          <w:rFonts w:ascii="Arial" w:hAnsi="Arial"/>
          <w:sz w:val="24"/>
        </w:rPr>
        <w:t xml:space="preserve"> current</w:t>
      </w:r>
      <w:r w:rsidRPr="000767AE">
        <w:rPr>
          <w:rFonts w:ascii="Arial" w:hAnsi="Arial"/>
          <w:sz w:val="24"/>
        </w:rPr>
        <w:t xml:space="preserve"> surveillance data are rarely standardised or reported in a timely way</w:t>
      </w:r>
      <w:r w:rsidR="008E10C3" w:rsidRPr="000767AE">
        <w:rPr>
          <w:rFonts w:ascii="Arial" w:hAnsi="Arial"/>
          <w:sz w:val="24"/>
        </w:rPr>
        <w:t xml:space="preserve"> and</w:t>
      </w:r>
      <w:r w:rsidRPr="000767AE">
        <w:rPr>
          <w:rFonts w:ascii="Arial" w:hAnsi="Arial"/>
          <w:sz w:val="24"/>
        </w:rPr>
        <w:t xml:space="preserve"> are often aggregated </w:t>
      </w:r>
      <w:r w:rsidR="008E10C3" w:rsidRPr="000767AE">
        <w:rPr>
          <w:rFonts w:ascii="Arial" w:hAnsi="Arial"/>
          <w:sz w:val="24"/>
        </w:rPr>
        <w:t>m</w:t>
      </w:r>
      <w:r w:rsidR="00C65C04" w:rsidRPr="000767AE">
        <w:rPr>
          <w:rFonts w:ascii="Arial" w:hAnsi="Arial"/>
          <w:sz w:val="24"/>
        </w:rPr>
        <w:t>aking</w:t>
      </w:r>
      <w:r w:rsidRPr="000767AE">
        <w:rPr>
          <w:rFonts w:ascii="Arial" w:hAnsi="Arial"/>
          <w:sz w:val="24"/>
        </w:rPr>
        <w:t xml:space="preserve"> interpretation problematic; without access to individual patient outcomes data are of limited use. Making primary data available internationally, and standardising which markers of resistance and species are tracked across international boundaries, may be one avenue to harmonise these efforts</w:t>
      </w:r>
      <w:r w:rsidR="00B21D2A">
        <w:rPr>
          <w:rFonts w:ascii="Arial" w:hAnsi="Arial"/>
          <w:sz w:val="24"/>
        </w:rPr>
        <w:t>,</w:t>
      </w:r>
      <w:r w:rsidR="00B21D2A" w:rsidRPr="00B21D2A">
        <w:rPr>
          <w:rFonts w:ascii="Arial" w:hAnsi="Arial"/>
          <w:sz w:val="24"/>
          <w:highlight w:val="yellow"/>
        </w:rPr>
        <w:t xml:space="preserve"> </w:t>
      </w:r>
      <w:r w:rsidR="00B21D2A">
        <w:rPr>
          <w:rFonts w:ascii="Arial" w:hAnsi="Arial"/>
          <w:sz w:val="24"/>
          <w:highlight w:val="yellow"/>
        </w:rPr>
        <w:fldChar w:fldCharType="begin" w:fldLock="1"/>
      </w:r>
      <w:r w:rsidR="009E0BAE">
        <w:rPr>
          <w:rFonts w:ascii="Arial" w:hAnsi="Arial"/>
          <w:sz w:val="24"/>
          <w:highlight w:val="yellow"/>
        </w:rPr>
        <w:instrText>ADDIN CSL_CITATION { "citationItems" : [ { "id" : "ITEM-1", "itemData" : { "author" : [ { "dropping-particle" : "", "family" : "World Health Organization", "given" : "", "non-dropping-particle" : "", "parse-names" : false, "suffix" : "" } ], "container-title" : "2012", "id" : "ITEM-1", "issued" : { "date-parts" : [ [ "2012" ] ] }, "publisher-place" : "Geneva", "title" : "The evolving threat of antimicrobial resistance: Options for action", "type" : "report" }, "uris" : [ "http://www.mendeley.com/documents/?uuid=d7dc2532-070a-4f17-a252-61a578e46efa" ] } ], "mendeley" : { "formattedCitation" : "&lt;sup&gt;22&lt;/sup&gt;", "plainTextFormattedCitation" : "22", "previouslyFormattedCitation" : "&lt;sup&gt;23&lt;/sup&gt;" }, "properties" : { "noteIndex" : 0 }, "schema" : "https://github.com/citation-style-language/schema/raw/master/csl-citation.json" }</w:instrText>
      </w:r>
      <w:r w:rsidR="00B21D2A">
        <w:rPr>
          <w:rFonts w:ascii="Arial" w:hAnsi="Arial"/>
          <w:sz w:val="24"/>
          <w:highlight w:val="yellow"/>
        </w:rPr>
        <w:fldChar w:fldCharType="separate"/>
      </w:r>
      <w:r w:rsidR="009E0BAE" w:rsidRPr="009E0BAE">
        <w:rPr>
          <w:rFonts w:ascii="Arial" w:hAnsi="Arial"/>
          <w:noProof/>
          <w:sz w:val="24"/>
          <w:highlight w:val="yellow"/>
          <w:vertAlign w:val="superscript"/>
        </w:rPr>
        <w:t>22</w:t>
      </w:r>
      <w:r w:rsidR="00B21D2A">
        <w:rPr>
          <w:rFonts w:ascii="Arial" w:hAnsi="Arial"/>
          <w:sz w:val="24"/>
          <w:highlight w:val="yellow"/>
        </w:rPr>
        <w:fldChar w:fldCharType="end"/>
      </w:r>
      <w:r w:rsidR="00D773BA" w:rsidRPr="00B21D2A">
        <w:rPr>
          <w:rFonts w:ascii="Arial" w:hAnsi="Arial"/>
          <w:sz w:val="24"/>
          <w:highlight w:val="yellow"/>
          <w:vertAlign w:val="superscript"/>
        </w:rPr>
        <w:t>,</w:t>
      </w:r>
      <w:r w:rsidR="00D773BA" w:rsidRPr="00D773BA">
        <w:rPr>
          <w:rFonts w:ascii="Arial" w:hAnsi="Arial"/>
          <w:sz w:val="24"/>
          <w:highlight w:val="yellow"/>
        </w:rPr>
        <w:fldChar w:fldCharType="begin" w:fldLock="1"/>
      </w:r>
      <w:r w:rsidR="009E0BAE">
        <w:rPr>
          <w:rFonts w:ascii="Arial" w:hAnsi="Arial"/>
          <w:sz w:val="24"/>
          <w:highlight w:val="yellow"/>
        </w:rPr>
        <w:instrText>ADDIN CSL_CITATION { "citationItems" : [ { "id" : "ITEM-1", "itemData" : { "author" : [ { "dropping-particle" : "", "family" : "Department of Health", "given" : "", "non-dropping-particle" : "", "parse-names" : false, "suffix" : "" }, { "dropping-particle" : "", "family" : "Department for Environment Food and Rural Affairs", "given" : "", "non-dropping-particle" : "", "parse-names" : false, "suffix" : "" } ], "id" : "ITEM-1", "issued" : { "date-parts" : [ [ "2013" ] ] }, "publisher-place" : "London", "title" : "UK Five Year Antimicrobial Resistance Strategy 2013 to 2018", "type" : "report" }, "uris" : [ "http://www.mendeley.com/documents/?uuid=e2b8a2c8-eab2-4c5c-af1b-5dab96d88c65" ] } ], "mendeley" : { "formattedCitation" : "&lt;sup&gt;87&lt;/sup&gt;", "plainTextFormattedCitation" : "87", "previouslyFormattedCitation" : "&lt;sup&gt;88&lt;/sup&gt;" }, "properties" : { "noteIndex" : 0 }, "schema" : "https://github.com/citation-style-language/schema/raw/master/csl-citation.json" }</w:instrText>
      </w:r>
      <w:r w:rsidR="00D773BA" w:rsidRPr="00D773BA">
        <w:rPr>
          <w:rFonts w:ascii="Arial" w:hAnsi="Arial"/>
          <w:sz w:val="24"/>
          <w:highlight w:val="yellow"/>
        </w:rPr>
        <w:fldChar w:fldCharType="separate"/>
      </w:r>
      <w:r w:rsidR="009E0BAE" w:rsidRPr="009E0BAE">
        <w:rPr>
          <w:rFonts w:ascii="Arial" w:hAnsi="Arial"/>
          <w:noProof/>
          <w:sz w:val="24"/>
          <w:highlight w:val="yellow"/>
          <w:vertAlign w:val="superscript"/>
        </w:rPr>
        <w:t>87</w:t>
      </w:r>
      <w:r w:rsidR="00D773BA" w:rsidRPr="00D773BA">
        <w:rPr>
          <w:rFonts w:ascii="Arial" w:hAnsi="Arial"/>
          <w:sz w:val="24"/>
          <w:highlight w:val="yellow"/>
        </w:rPr>
        <w:fldChar w:fldCharType="end"/>
      </w:r>
      <w:r w:rsidRPr="000767AE">
        <w:rPr>
          <w:rFonts w:ascii="Arial" w:hAnsi="Arial"/>
          <w:sz w:val="24"/>
        </w:rPr>
        <w:t xml:space="preserve"> and is potentially possible to a fine resolution</w:t>
      </w:r>
      <w:r w:rsidRPr="000767AE">
        <w:rPr>
          <w:rFonts w:ascii="Arial" w:hAnsi="Arial"/>
          <w:noProof/>
          <w:sz w:val="24"/>
          <w:szCs w:val="20"/>
          <w:vertAlign w:val="superscript"/>
        </w:rPr>
        <w:fldChar w:fldCharType="begin" w:fldLock="1"/>
      </w:r>
      <w:r w:rsidR="009E0BAE">
        <w:rPr>
          <w:rFonts w:ascii="Arial" w:hAnsi="Arial"/>
          <w:noProof/>
          <w:sz w:val="24"/>
          <w:szCs w:val="20"/>
          <w:vertAlign w:val="superscript"/>
        </w:rPr>
        <w:instrText>ADDIN CSL_CITATION { "citationItems" : [ { "id" : "ITEM-1", "itemData" : { "author" : [ { "dropping-particle" : "", "family" : "Moore", "given" : "Luke SP", "non-dropping-particle" : "", "parse-names" : false, "suffix" : "" }, { "dropping-particle" : "", "family" : "Freeman", "given" : "Rachel", "non-dropping-particle" : "", "parse-names" : false, "suffix" : "" }, { "dropping-particle" : "", "family" : "Gilchrist", "given" : "Mark", "non-dropping-particle" : "", "parse-names" : false, "suffix" : "" }, { "dropping-particle" : "", "family" : "Gharbi", "given" : "Myriam", "non-dropping-particle" : "", "parse-names" : false, "suffix" : "" }, { "dropping-particle" : "", "family" : "Brannigan", "given" : "Eimear T", "non-dropping-particle" : "", "parse-names" : false, "suffix" : "" }, { "dropping-particle" : "", "family" : "Donaldson", "given" : "Hugo", "non-dropping-particle" : "", "parse-names" : false, "suffix" : "" }, { "dropping-particle" : "", "family" : "Livermore", "given" : "David M", "non-dropping-particle" : "", "parse-names" : false, "suffix" : "" }, { "dropping-particle" : "", "family" : "Holmes", "given" : "Alison", "non-dropping-particle" : "", "parse-names" : false, "suffix" : "" } ], "container-title" : "Journal of Antimicrobial Chemotherapy", "id" : "ITEM-1", "issued" : { "date-parts" : [ [ "2014" ] ] }, "page" : "[In Press]", "title" : "Homogeneity of antimicrobial policy, yet heterogeneity of antimicrobial resistance: antimicrobial non-susceptibility among 108,717 clinical isolates from primary, secondary and tertiary care patients in London", "type" : "article-journal" }, "uris" : [ "http://www.mendeley.com/documents/?uuid=a5f07235-bcec-43c9-8415-ff911a3b8554" ] } ], "mendeley" : { "formattedCitation" : "&lt;sup&gt;102&lt;/sup&gt;", "plainTextFormattedCitation" : "102", "previouslyFormattedCitation" : "&lt;sup&gt;103&lt;/sup&gt;" }, "properties" : { "noteIndex" : 0 }, "schema" : "https://github.com/citation-style-language/schema/raw/master/csl-citation.json" }</w:instrText>
      </w:r>
      <w:r w:rsidRPr="000767AE">
        <w:rPr>
          <w:rFonts w:ascii="Arial" w:hAnsi="Arial"/>
          <w:noProof/>
          <w:sz w:val="24"/>
          <w:szCs w:val="20"/>
          <w:vertAlign w:val="superscript"/>
        </w:rPr>
        <w:fldChar w:fldCharType="separate"/>
      </w:r>
      <w:r w:rsidR="009E0BAE" w:rsidRPr="009E0BAE">
        <w:rPr>
          <w:rFonts w:ascii="Arial" w:hAnsi="Arial"/>
          <w:noProof/>
          <w:sz w:val="24"/>
          <w:szCs w:val="20"/>
          <w:vertAlign w:val="superscript"/>
        </w:rPr>
        <w:t>102</w:t>
      </w:r>
      <w:r w:rsidRPr="000767AE">
        <w:rPr>
          <w:rFonts w:ascii="Arial" w:hAnsi="Arial"/>
          <w:noProof/>
          <w:sz w:val="24"/>
          <w:szCs w:val="20"/>
          <w:vertAlign w:val="superscript"/>
        </w:rPr>
        <w:fldChar w:fldCharType="end"/>
      </w:r>
      <w:r w:rsidRPr="000767AE">
        <w:rPr>
          <w:rFonts w:ascii="Arial" w:hAnsi="Arial"/>
          <w:sz w:val="24"/>
        </w:rPr>
        <w:t xml:space="preserve"> using automated methods.</w:t>
      </w:r>
      <w:r w:rsidRPr="000767AE">
        <w:rPr>
          <w:rFonts w:ascii="Arial" w:hAnsi="Arial"/>
          <w:noProof/>
          <w:sz w:val="24"/>
          <w:szCs w:val="20"/>
          <w:vertAlign w:val="superscript"/>
        </w:rPr>
        <w:fldChar w:fldCharType="begin" w:fldLock="1"/>
      </w:r>
      <w:r w:rsidR="009E0BAE">
        <w:rPr>
          <w:rFonts w:ascii="Arial" w:hAnsi="Arial"/>
          <w:noProof/>
          <w:sz w:val="24"/>
          <w:szCs w:val="20"/>
          <w:vertAlign w:val="superscript"/>
        </w:rPr>
        <w:instrText>ADDIN CSL_CITATION { "citationItems" : [ { "id" : "ITEM-1", "itemData" : { "DOI" : "10.1016/j.jinf.2013.07.021", "ISSN" : "1532-2742", "PMID" : "23876330", "abstract" : "OBJECTIVES: Evaluate data available from a national voluntary reporting system and describe the data processing necessary to enable the development and application of outbreak detection methods in healthcare settings. METHODS: Evaluation was performed on an extract of data reported between March 2007 and May 2012. Reporting delays were calculated and analysed at the trust, regional and national levels. Negative binomial regression analysis was performed to detect any changes in laboratory reporting within this time. RESULTS: 167 hospital laboratories have reported to the voluntary reporting system. 1,705,126 reports were made in the five-year study period. There is large variation in how laboratories report to the system. Under half (44.9%) report in a timely manner, with &gt;90% of infections reported within three weeks of the specimen date. Overall, there was a significant increase of 17.5% in reporting after October 2010 (95% CI 13.8-21.4%, p &lt; 0.001) and an improvement in reporting delay, when new statutory reporting regulations were introduced. CONCLUSIONS: The outbreak detection algorithm used at the national and regional level requires further modification to optimise outbreak detection for individual hospitals. For any prospective outbreak detection system to perform optimally it is imperative that laboratories ensure that the data they submit is complete, consistent and timely.", "author" : [ { "dropping-particle" : "", "family" : "Freeman", "given" : "R", "non-dropping-particle" : "", "parse-names" : false, "suffix" : "" }, { "dropping-particle" : "", "family" : "Charlett", "given" : "A", "non-dropping-particle" : "", "parse-names" : false, "suffix" : "" }, { "dropping-particle" : "", "family" : "Hopkins", "given" : "S", "non-dropping-particle" : "", "parse-names" : false, "suffix" : "" }, { "dropping-particle" : "", "family" : "O'Connell", "given" : "a M", "non-dropping-particle" : "", "parse-names" : false, "suffix" : "" }, { "dropping-particle" : "", "family" : "Andrews", "given" : "N", "non-dropping-particle" : "", "parse-names" : false, "suffix" : "" }, { "dropping-particle" : "", "family" : "Freed", "given" : "J", "non-dropping-particle" : "", "parse-names" : false, "suffix" : "" }, { "dropping-particle" : "", "family" : "Holmes", "given" : "A", "non-dropping-particle" : "", "parse-names" : false, "suffix" : "" }, { "dropping-particle" : "", "family" : "Catchpole", "given" : "M", "non-dropping-particle" : "", "parse-names" : false, "suffix" : "" } ], "container-title" : "Journal of infection", "id" : "ITEM-1", "issue" : "5", "issued" : { "date-parts" : [ [ "2013", "11" ] ] }, "page" : "378-84", "publisher" : "Elsevier Ltd", "title" : "Evaluation of a national microbiological surveillance system to inform automated outbreak detection.", "type" : "article-journal", "volume" : "67" }, "uris" : [ "http://www.mendeley.com/documents/?uuid=517c8b8c-dadb-4851-be37-3f62630954ca" ] } ], "mendeley" : { "formattedCitation" : "&lt;sup&gt;103&lt;/sup&gt;", "plainTextFormattedCitation" : "103", "previouslyFormattedCitation" : "&lt;sup&gt;104&lt;/sup&gt;" }, "properties" : { "noteIndex" : 0 }, "schema" : "https://github.com/citation-style-language/schema/raw/master/csl-citation.json" }</w:instrText>
      </w:r>
      <w:r w:rsidRPr="000767AE">
        <w:rPr>
          <w:rFonts w:ascii="Arial" w:hAnsi="Arial"/>
          <w:noProof/>
          <w:sz w:val="24"/>
          <w:szCs w:val="20"/>
          <w:vertAlign w:val="superscript"/>
        </w:rPr>
        <w:fldChar w:fldCharType="separate"/>
      </w:r>
      <w:r w:rsidR="009E0BAE" w:rsidRPr="009E0BAE">
        <w:rPr>
          <w:rFonts w:ascii="Arial" w:hAnsi="Arial"/>
          <w:noProof/>
          <w:sz w:val="24"/>
          <w:szCs w:val="20"/>
          <w:vertAlign w:val="superscript"/>
        </w:rPr>
        <w:t>103</w:t>
      </w:r>
      <w:r w:rsidRPr="000767AE">
        <w:rPr>
          <w:rFonts w:ascii="Arial" w:hAnsi="Arial"/>
          <w:noProof/>
          <w:sz w:val="24"/>
          <w:szCs w:val="20"/>
          <w:vertAlign w:val="superscript"/>
        </w:rPr>
        <w:fldChar w:fldCharType="end"/>
      </w:r>
      <w:r w:rsidRPr="000767AE">
        <w:rPr>
          <w:rFonts w:ascii="Arial" w:hAnsi="Arial"/>
          <w:sz w:val="24"/>
        </w:rPr>
        <w:t xml:space="preserve"> </w:t>
      </w:r>
      <w:r w:rsidR="00C65C04" w:rsidRPr="000767AE">
        <w:rPr>
          <w:rFonts w:ascii="Arial" w:hAnsi="Arial"/>
          <w:sz w:val="24"/>
        </w:rPr>
        <w:t>Such</w:t>
      </w:r>
      <w:r w:rsidRPr="000767AE">
        <w:rPr>
          <w:rFonts w:ascii="Arial" w:hAnsi="Arial"/>
          <w:sz w:val="24"/>
        </w:rPr>
        <w:t xml:space="preserve"> information can provide early warning of emerging resistance and allow prompt implementation of efforts to preserve and maximize the useful </w:t>
      </w:r>
      <w:r w:rsidRPr="000767AE">
        <w:rPr>
          <w:rFonts w:ascii="Arial" w:hAnsi="Arial"/>
          <w:sz w:val="24"/>
        </w:rPr>
        <w:lastRenderedPageBreak/>
        <w:t>therapeutic life of current antimicrobial</w:t>
      </w:r>
      <w:r w:rsidR="00C65C04" w:rsidRPr="000767AE">
        <w:rPr>
          <w:rFonts w:ascii="Arial" w:hAnsi="Arial"/>
          <w:sz w:val="24"/>
        </w:rPr>
        <w:t>s</w:t>
      </w:r>
      <w:r w:rsidRPr="000767AE">
        <w:rPr>
          <w:rFonts w:ascii="Arial" w:hAnsi="Arial"/>
          <w:sz w:val="24"/>
        </w:rPr>
        <w:t>. This coordinated approach has been successfully implemented for malaria (www.wwarn.org) and could be productively applied to other pathogens.</w:t>
      </w:r>
    </w:p>
    <w:p w14:paraId="199D70A5" w14:textId="77777777" w:rsidR="005C7D92" w:rsidRPr="000767AE" w:rsidRDefault="005C7D92" w:rsidP="00A053CE">
      <w:pPr>
        <w:rPr>
          <w:rFonts w:ascii="Arial" w:hAnsi="Arial"/>
          <w:sz w:val="24"/>
        </w:rPr>
      </w:pPr>
    </w:p>
    <w:p w14:paraId="6309D86F" w14:textId="3308C3A1" w:rsidR="00A053CE" w:rsidRPr="000767AE" w:rsidRDefault="008E10C3" w:rsidP="00A053CE">
      <w:pPr>
        <w:rPr>
          <w:rFonts w:ascii="Arial" w:hAnsi="Arial" w:cs="Arial"/>
          <w:sz w:val="24"/>
          <w:szCs w:val="24"/>
          <w:lang w:val="en-US"/>
        </w:rPr>
      </w:pPr>
      <w:r w:rsidRPr="000767AE">
        <w:rPr>
          <w:rFonts w:ascii="Arial" w:hAnsi="Arial"/>
          <w:sz w:val="24"/>
        </w:rPr>
        <w:t>Finally</w:t>
      </w:r>
      <w:r w:rsidR="005C7D92" w:rsidRPr="000767AE">
        <w:rPr>
          <w:rFonts w:ascii="Arial" w:hAnsi="Arial"/>
          <w:sz w:val="24"/>
        </w:rPr>
        <w:t>,</w:t>
      </w:r>
      <w:r w:rsidR="00A053CE" w:rsidRPr="000767AE">
        <w:rPr>
          <w:rFonts w:ascii="Arial" w:hAnsi="Arial"/>
          <w:sz w:val="24"/>
        </w:rPr>
        <w:t xml:space="preserve"> at the level of the micro-organism</w:t>
      </w:r>
      <w:r w:rsidR="005C7D92" w:rsidRPr="000767AE">
        <w:rPr>
          <w:rFonts w:ascii="Arial" w:hAnsi="Arial"/>
          <w:sz w:val="24"/>
        </w:rPr>
        <w:t xml:space="preserve"> continued </w:t>
      </w:r>
      <w:r w:rsidR="004E70BD" w:rsidRPr="000767AE">
        <w:rPr>
          <w:rFonts w:ascii="Arial" w:hAnsi="Arial"/>
          <w:sz w:val="24"/>
        </w:rPr>
        <w:t>investigation</w:t>
      </w:r>
      <w:r w:rsidR="005C7D92" w:rsidRPr="000767AE">
        <w:rPr>
          <w:rFonts w:ascii="Arial" w:hAnsi="Arial"/>
          <w:sz w:val="24"/>
        </w:rPr>
        <w:t xml:space="preserve"> </w:t>
      </w:r>
      <w:r w:rsidR="006B10C2" w:rsidRPr="000767AE">
        <w:rPr>
          <w:rFonts w:ascii="Arial" w:hAnsi="Arial"/>
          <w:sz w:val="24"/>
        </w:rPr>
        <w:t xml:space="preserve">is needed </w:t>
      </w:r>
      <w:r w:rsidR="002958F0" w:rsidRPr="000767AE">
        <w:rPr>
          <w:rFonts w:ascii="Arial" w:hAnsi="Arial"/>
          <w:sz w:val="24"/>
        </w:rPr>
        <w:t xml:space="preserve">to </w:t>
      </w:r>
      <w:r w:rsidR="00871272" w:rsidRPr="000767AE">
        <w:rPr>
          <w:rFonts w:ascii="Arial" w:hAnsi="Arial"/>
          <w:sz w:val="24"/>
        </w:rPr>
        <w:t xml:space="preserve">generate </w:t>
      </w:r>
      <w:r w:rsidR="002958F0" w:rsidRPr="000767AE">
        <w:rPr>
          <w:rFonts w:ascii="Arial" w:hAnsi="Arial"/>
          <w:sz w:val="24"/>
        </w:rPr>
        <w:t xml:space="preserve">new insights </w:t>
      </w:r>
      <w:r w:rsidR="005C7D92" w:rsidRPr="000767AE">
        <w:rPr>
          <w:rFonts w:ascii="Arial" w:hAnsi="Arial"/>
          <w:sz w:val="24"/>
        </w:rPr>
        <w:t xml:space="preserve">into </w:t>
      </w:r>
      <w:r w:rsidR="002958F0" w:rsidRPr="000767AE">
        <w:rPr>
          <w:rFonts w:ascii="Arial" w:hAnsi="Arial"/>
          <w:sz w:val="24"/>
        </w:rPr>
        <w:t xml:space="preserve">the basic </w:t>
      </w:r>
      <w:r w:rsidR="007E2CF6" w:rsidRPr="000767AE">
        <w:rPr>
          <w:rFonts w:ascii="Arial" w:hAnsi="Arial"/>
          <w:sz w:val="24"/>
        </w:rPr>
        <w:t>mechanisms of resistance</w:t>
      </w:r>
      <w:r w:rsidR="002958F0" w:rsidRPr="000767AE">
        <w:rPr>
          <w:rFonts w:ascii="Arial" w:hAnsi="Arial"/>
          <w:sz w:val="24"/>
        </w:rPr>
        <w:t xml:space="preserve">, </w:t>
      </w:r>
      <w:r w:rsidR="008737BB" w:rsidRPr="000767AE">
        <w:rPr>
          <w:rFonts w:ascii="Arial" w:hAnsi="Arial"/>
          <w:sz w:val="24"/>
        </w:rPr>
        <w:t>gene transfer</w:t>
      </w:r>
      <w:r w:rsidR="002958F0" w:rsidRPr="000767AE">
        <w:rPr>
          <w:rFonts w:ascii="Arial" w:hAnsi="Arial"/>
          <w:sz w:val="24"/>
        </w:rPr>
        <w:t xml:space="preserve"> and adaptive bacterial </w:t>
      </w:r>
      <w:r w:rsidR="00871272" w:rsidRPr="000767AE">
        <w:rPr>
          <w:rFonts w:ascii="Arial" w:hAnsi="Arial"/>
          <w:sz w:val="24"/>
        </w:rPr>
        <w:t>evolution</w:t>
      </w:r>
      <w:r w:rsidR="00D31CB8" w:rsidRPr="000767AE">
        <w:rPr>
          <w:rFonts w:ascii="Arial" w:hAnsi="Arial"/>
          <w:sz w:val="24"/>
        </w:rPr>
        <w:t>.</w:t>
      </w:r>
      <w:r w:rsidR="00E121F2" w:rsidRPr="000767AE">
        <w:rPr>
          <w:rFonts w:ascii="Arial" w:hAnsi="Arial"/>
          <w:sz w:val="24"/>
        </w:rPr>
        <w:t xml:space="preserve"> </w:t>
      </w:r>
      <w:r w:rsidR="00DC74F1" w:rsidRPr="000767AE">
        <w:rPr>
          <w:rFonts w:ascii="Arial" w:hAnsi="Arial"/>
          <w:sz w:val="24"/>
        </w:rPr>
        <w:t xml:space="preserve">This includes </w:t>
      </w:r>
      <w:r w:rsidR="00200BAD" w:rsidRPr="000767AE">
        <w:rPr>
          <w:rFonts w:ascii="Arial" w:hAnsi="Arial"/>
          <w:sz w:val="24"/>
        </w:rPr>
        <w:t xml:space="preserve">investigating </w:t>
      </w:r>
      <w:r w:rsidR="007E2CF6" w:rsidRPr="000767AE">
        <w:rPr>
          <w:rFonts w:ascii="Arial" w:hAnsi="Arial"/>
          <w:sz w:val="24"/>
        </w:rPr>
        <w:t xml:space="preserve">the </w:t>
      </w:r>
      <w:r w:rsidR="00A053CE" w:rsidRPr="000767AE">
        <w:rPr>
          <w:rFonts w:ascii="Arial" w:hAnsi="Arial"/>
          <w:sz w:val="24"/>
        </w:rPr>
        <w:t>role of persistence</w:t>
      </w:r>
      <w:r w:rsidR="00DC74F1" w:rsidRPr="000767AE">
        <w:rPr>
          <w:rFonts w:ascii="Arial" w:hAnsi="Arial"/>
          <w:sz w:val="24"/>
        </w:rPr>
        <w:t>,</w:t>
      </w:r>
      <w:r w:rsidR="007E2CF6" w:rsidRPr="000767AE">
        <w:rPr>
          <w:rFonts w:ascii="Arial" w:hAnsi="Arial"/>
          <w:sz w:val="24"/>
        </w:rPr>
        <w:t xml:space="preserve"> and</w:t>
      </w:r>
      <w:r w:rsidR="00A053CE" w:rsidRPr="000767AE">
        <w:rPr>
          <w:rFonts w:ascii="Arial" w:hAnsi="Arial"/>
          <w:sz w:val="24"/>
        </w:rPr>
        <w:t xml:space="preserve"> </w:t>
      </w:r>
      <w:r w:rsidR="00EF794A" w:rsidRPr="000767AE">
        <w:rPr>
          <w:rFonts w:ascii="Arial" w:hAnsi="Arial"/>
          <w:sz w:val="24"/>
        </w:rPr>
        <w:t>of host-pathogen interactions</w:t>
      </w:r>
      <w:r w:rsidR="00DC74F1" w:rsidRPr="000767AE">
        <w:rPr>
          <w:rFonts w:ascii="Arial" w:hAnsi="Arial"/>
          <w:sz w:val="24"/>
        </w:rPr>
        <w:t>,</w:t>
      </w:r>
      <w:r w:rsidR="00EF794A" w:rsidRPr="000767AE" w:rsidDel="005C7D92">
        <w:rPr>
          <w:rFonts w:ascii="Arial" w:hAnsi="Arial"/>
          <w:sz w:val="24"/>
        </w:rPr>
        <w:t xml:space="preserve"> </w:t>
      </w:r>
      <w:r w:rsidR="00EF794A" w:rsidRPr="000767AE">
        <w:rPr>
          <w:rFonts w:ascii="Arial" w:hAnsi="Arial"/>
          <w:sz w:val="24"/>
        </w:rPr>
        <w:t>and their</w:t>
      </w:r>
      <w:r w:rsidR="000557C3" w:rsidRPr="000767AE">
        <w:rPr>
          <w:rFonts w:ascii="Arial" w:hAnsi="Arial"/>
          <w:sz w:val="24"/>
        </w:rPr>
        <w:t xml:space="preserve"> contribution to AMR</w:t>
      </w:r>
      <w:r w:rsidR="00A053CE" w:rsidRPr="000767AE">
        <w:rPr>
          <w:rFonts w:ascii="Arial" w:hAnsi="Arial"/>
          <w:sz w:val="24"/>
        </w:rPr>
        <w:fldChar w:fldCharType="begin" w:fldLock="1"/>
      </w:r>
      <w:r w:rsidR="009E0BAE">
        <w:rPr>
          <w:rFonts w:ascii="Arial" w:hAnsi="Arial"/>
          <w:sz w:val="24"/>
        </w:rPr>
        <w:instrText>ADDIN CSL_CITATION { "citationItems" : [ { "id" : "ITEM-1", "itemData" : { "DOI" : "10.1038/nrmicro3076", "ISSN" : "1740-1526", "author" : [ { "dropping-particle" : "", "family" : "Balaban", "given" : "Nathalie Q.", "non-dropping-particle" : "", "parse-names" : false, "suffix" : "" }, { "dropping-particle" : "", "family" : "Gerdes", "given" : "Kenn", "non-dropping-particle" : "", "parse-names" : false, "suffix" : "" }, { "dropping-particle" : "", "family" : "Lewis", "given" : "Kim", "non-dropping-particle" : "", "parse-names" : false, "suffix" : "" }, { "dropping-particle" : "", "family" : "McKinney", "given" : "John D.", "non-dropping-particle" : "", "parse-names" : false, "suffix" : "" } ], "container-title" : "Nature Reviews Microbiology", "id" : "ITEM-1", "issue" : "8", "issued" : { "date-parts" : [ [ "2013", "7", "16" ] ] }, "page" : "587-591", "publisher" : "Nature Publishing Group", "title" : "A problem of persistence: still more questions than answers?", "type" : "article-journal", "volume" : "11" }, "uris" : [ "http://www.mendeley.com/documents/?uuid=d06f1317-9e4b-4248-9896-171e67e053e3" ] } ], "mendeley" : { "formattedCitation" : "&lt;sup&gt;104&lt;/sup&gt;", "plainTextFormattedCitation" : "104", "previouslyFormattedCitation" : "&lt;sup&gt;105&lt;/sup&gt;" }, "properties" : { "noteIndex" : 0 }, "schema" : "https://github.com/citation-style-language/schema/raw/master/csl-citation.json" }</w:instrText>
      </w:r>
      <w:r w:rsidR="00A053CE" w:rsidRPr="000767AE">
        <w:rPr>
          <w:rFonts w:ascii="Arial" w:hAnsi="Arial"/>
          <w:sz w:val="24"/>
        </w:rPr>
        <w:fldChar w:fldCharType="separate"/>
      </w:r>
      <w:r w:rsidR="009E0BAE" w:rsidRPr="009E0BAE">
        <w:rPr>
          <w:rFonts w:ascii="Arial" w:hAnsi="Arial"/>
          <w:noProof/>
          <w:sz w:val="24"/>
          <w:vertAlign w:val="superscript"/>
        </w:rPr>
        <w:t>104</w:t>
      </w:r>
      <w:r w:rsidR="00A053CE" w:rsidRPr="000767AE">
        <w:rPr>
          <w:rFonts w:ascii="Arial" w:hAnsi="Arial"/>
          <w:sz w:val="24"/>
        </w:rPr>
        <w:fldChar w:fldCharType="end"/>
      </w:r>
      <w:r w:rsidR="00A053CE" w:rsidRPr="000767AE">
        <w:rPr>
          <w:rFonts w:ascii="Arial" w:hAnsi="Arial"/>
          <w:sz w:val="24"/>
        </w:rPr>
        <w:t xml:space="preserve"> </w:t>
      </w:r>
      <w:r w:rsidR="004E70BD" w:rsidRPr="000767AE">
        <w:rPr>
          <w:rFonts w:ascii="Arial" w:hAnsi="Arial"/>
          <w:sz w:val="24"/>
        </w:rPr>
        <w:t>and</w:t>
      </w:r>
      <w:r w:rsidR="00EF794A" w:rsidRPr="000767AE">
        <w:rPr>
          <w:rFonts w:ascii="Arial" w:hAnsi="Arial"/>
          <w:sz w:val="24"/>
        </w:rPr>
        <w:t xml:space="preserve"> AMR reversal</w:t>
      </w:r>
      <w:r w:rsidR="005C7D92" w:rsidRPr="000767AE">
        <w:rPr>
          <w:rFonts w:ascii="Arial" w:hAnsi="Arial"/>
          <w:sz w:val="24"/>
        </w:rPr>
        <w:t xml:space="preserve">. </w:t>
      </w:r>
      <w:r w:rsidR="00DC74F1" w:rsidRPr="000767AE">
        <w:rPr>
          <w:rFonts w:ascii="Arial" w:hAnsi="Arial"/>
          <w:sz w:val="24"/>
        </w:rPr>
        <w:t xml:space="preserve">Pursuing </w:t>
      </w:r>
      <w:r w:rsidR="00EF794A" w:rsidRPr="000767AE">
        <w:rPr>
          <w:rFonts w:ascii="Arial" w:hAnsi="Arial"/>
          <w:sz w:val="24"/>
        </w:rPr>
        <w:t>areas</w:t>
      </w:r>
      <w:r w:rsidR="00BA0F88" w:rsidRPr="000767AE">
        <w:rPr>
          <w:rFonts w:ascii="Arial" w:hAnsi="Arial"/>
          <w:sz w:val="24"/>
        </w:rPr>
        <w:t xml:space="preserve"> such as these</w:t>
      </w:r>
      <w:r w:rsidR="00EF794A" w:rsidRPr="000767AE">
        <w:rPr>
          <w:rFonts w:ascii="Arial" w:hAnsi="Arial"/>
          <w:sz w:val="24"/>
        </w:rPr>
        <w:t xml:space="preserve"> </w:t>
      </w:r>
      <w:r w:rsidR="004E70BD" w:rsidRPr="000767AE">
        <w:rPr>
          <w:rFonts w:ascii="Arial" w:hAnsi="Arial"/>
          <w:sz w:val="24"/>
        </w:rPr>
        <w:t xml:space="preserve">may uncover </w:t>
      </w:r>
      <w:r w:rsidR="006B10C2" w:rsidRPr="000767AE">
        <w:rPr>
          <w:rFonts w:ascii="Arial" w:hAnsi="Arial"/>
          <w:sz w:val="24"/>
        </w:rPr>
        <w:t>new</w:t>
      </w:r>
      <w:r w:rsidR="004E70BD" w:rsidRPr="000767AE">
        <w:rPr>
          <w:rFonts w:ascii="Arial" w:hAnsi="Arial"/>
          <w:sz w:val="24"/>
        </w:rPr>
        <w:t xml:space="preserve"> </w:t>
      </w:r>
      <w:r w:rsidR="006B10C2" w:rsidRPr="000767AE">
        <w:rPr>
          <w:rFonts w:ascii="Arial" w:hAnsi="Arial"/>
          <w:sz w:val="24"/>
        </w:rPr>
        <w:t xml:space="preserve">targets for improved </w:t>
      </w:r>
      <w:r w:rsidR="005B1087" w:rsidRPr="000767AE">
        <w:rPr>
          <w:rFonts w:ascii="Arial" w:hAnsi="Arial"/>
          <w:sz w:val="24"/>
        </w:rPr>
        <w:t xml:space="preserve">therapeutics and </w:t>
      </w:r>
      <w:r w:rsidR="006B10C2" w:rsidRPr="000767AE">
        <w:rPr>
          <w:rFonts w:ascii="Arial" w:hAnsi="Arial"/>
          <w:sz w:val="24"/>
        </w:rPr>
        <w:t xml:space="preserve">diagnostics. Areas </w:t>
      </w:r>
      <w:r w:rsidR="005B1087" w:rsidRPr="000767AE">
        <w:rPr>
          <w:rFonts w:ascii="Arial" w:hAnsi="Arial"/>
          <w:sz w:val="24"/>
        </w:rPr>
        <w:t xml:space="preserve">of </w:t>
      </w:r>
      <w:r w:rsidR="0010702A" w:rsidRPr="000767AE">
        <w:rPr>
          <w:rFonts w:ascii="Arial" w:hAnsi="Arial"/>
          <w:sz w:val="24"/>
        </w:rPr>
        <w:t xml:space="preserve">particular </w:t>
      </w:r>
      <w:r w:rsidR="000557C3" w:rsidRPr="000767AE">
        <w:rPr>
          <w:rFonts w:ascii="Arial" w:hAnsi="Arial"/>
          <w:sz w:val="24"/>
        </w:rPr>
        <w:t>therapeutic interest</w:t>
      </w:r>
      <w:r w:rsidR="006B10C2" w:rsidRPr="000767AE">
        <w:rPr>
          <w:rFonts w:ascii="Arial" w:hAnsi="Arial"/>
          <w:sz w:val="24"/>
        </w:rPr>
        <w:fldChar w:fldCharType="begin" w:fldLock="1"/>
      </w:r>
      <w:r w:rsidR="009E0BAE">
        <w:rPr>
          <w:rFonts w:ascii="Arial" w:hAnsi="Arial"/>
          <w:sz w:val="24"/>
        </w:rPr>
        <w:instrText>ADDIN CSL_CITATION { "citationItems" : [ { "id" : "ITEM-1", "itemData" : { "id" : "ITEM-1", "issued" : { "date-parts" : [ [ "2014" ] ] }, "publisher-place" : "Bathesda, MD.", "title" : "NIAID's Antibacteria Resistance Program: Current Status and Future Directions", "type" : "report" }, "uris" : [ "http://www.mendeley.com/documents/?uuid=e30e0917-6c6c-486c-9f33-7aebcb0b72e0" ] }, { "id" : "ITEM-2", "itemData" : { "author" : [ { "dropping-particle" : "", "family" : "Department of Health", "given" : "", "non-dropping-particle" : "", "parse-names" : false, "suffix" : "" }, { "dropping-particle" : "", "family" : "Department for Environment Food and Rural Affairs", "given" : "", "non-dropping-particle" : "", "parse-names" : false, "suffix" : "" } ], "id" : "ITEM-2", "issued" : { "date-parts" : [ [ "2013" ] ] }, "publisher-place" : "London", "title" : "UK Five Year Antimicrobial Resistance Strategy 2013 to 2018", "type" : "report" }, "uris" : [ "http://www.mendeley.com/documents/?uuid=e2b8a2c8-eab2-4c5c-af1b-5dab96d88c65" ] } ], "mendeley" : { "formattedCitation" : "&lt;sup&gt;87,105&lt;/sup&gt;", "plainTextFormattedCitation" : "87,105", "previouslyFormattedCitation" : "&lt;sup&gt;88,106&lt;/sup&gt;" }, "properties" : { "noteIndex" : 0 }, "schema" : "https://github.com/citation-style-language/schema/raw/master/csl-citation.json" }</w:instrText>
      </w:r>
      <w:r w:rsidR="006B10C2" w:rsidRPr="000767AE">
        <w:rPr>
          <w:rFonts w:ascii="Arial" w:hAnsi="Arial"/>
          <w:sz w:val="24"/>
        </w:rPr>
        <w:fldChar w:fldCharType="separate"/>
      </w:r>
      <w:r w:rsidR="009E0BAE" w:rsidRPr="009E0BAE">
        <w:rPr>
          <w:rFonts w:ascii="Arial" w:hAnsi="Arial"/>
          <w:noProof/>
          <w:sz w:val="24"/>
          <w:vertAlign w:val="superscript"/>
        </w:rPr>
        <w:t>87,105</w:t>
      </w:r>
      <w:r w:rsidR="006B10C2" w:rsidRPr="000767AE">
        <w:rPr>
          <w:rFonts w:ascii="Arial" w:hAnsi="Arial"/>
          <w:sz w:val="24"/>
        </w:rPr>
        <w:fldChar w:fldCharType="end"/>
      </w:r>
      <w:r w:rsidR="006B10C2" w:rsidRPr="000767AE">
        <w:rPr>
          <w:rFonts w:ascii="Arial" w:hAnsi="Arial"/>
          <w:sz w:val="24"/>
        </w:rPr>
        <w:t xml:space="preserve"> include</w:t>
      </w:r>
      <w:r w:rsidR="0010702A" w:rsidRPr="000767AE">
        <w:rPr>
          <w:rFonts w:ascii="Arial" w:hAnsi="Arial"/>
          <w:sz w:val="24"/>
        </w:rPr>
        <w:t>;</w:t>
      </w:r>
      <w:r w:rsidR="00A053CE" w:rsidRPr="000767AE">
        <w:rPr>
          <w:rFonts w:ascii="Arial" w:hAnsi="Arial"/>
          <w:sz w:val="24"/>
        </w:rPr>
        <w:t xml:space="preserve"> small molecules to attenuate bacterial virulence and disrupt biofilm formation,</w:t>
      </w:r>
      <w:r w:rsidR="00A13B78" w:rsidRPr="000767AE">
        <w:rPr>
          <w:rFonts w:ascii="Arial" w:hAnsi="Arial"/>
          <w:sz w:val="24"/>
        </w:rPr>
        <w:fldChar w:fldCharType="begin" w:fldLock="1"/>
      </w:r>
      <w:r w:rsidR="009E0BAE">
        <w:rPr>
          <w:rFonts w:ascii="Arial" w:hAnsi="Arial"/>
          <w:sz w:val="24"/>
        </w:rPr>
        <w:instrText>ADDIN CSL_CITATION { "citationItems" : [ { "id" : "ITEM-1", "itemData" : { "ISSN" : "1875-533X", "PMID" : "24164200", "abstract" : "Clinically significant antibiotic resistance is one of the greatest challenges of the twenty-first century. Yet new antibiotics are currently being developed at a much slower pace than our growing need for such drugs. Instead of focusing on conventional therapeutics that target in vitro bacterial viability, an alternative therapy is to target virulence factors and biofilms. Such anti-virulence strategies have attracted more and more attention recently, for it would add both supplement and diversity to our current antimicrobial library. This approach has several potential advantages including imposing less evolutionary pressure on the development of antibiotic resistance, increasing the antibacterial targets and preserving the host endogenous microbiome. Quorum sensing is an intercellular communication process in bacterial communities, which can regulate coordinated expression of virulence factors and biofilms. N-Acyl homoserine lactones (AHLs) are autoinducers generated by a variety of Gram-negative bacteria. These signals combining with their cognate LuxR-type receptors trigger the expression of virulence genes. In this critical review, we summarize various structural types of small molecules targeting AHL-based quorum sensing to attenuate bacteria virulence factors and biofilms.", "author" : [ { "dropping-particle" : "", "family" : "Wang", "given" : "Y", "non-dropping-particle" : "", "parse-names" : false, "suffix" : "" }, { "dropping-particle" : "", "family" : "Ma", "given" : "S", "non-dropping-particle" : "", "parse-names" : false, "suffix" : "" } ], "container-title" : "Current Medicinal Chemistry", "id" : "ITEM-1", "issue" : "3", "issued" : { "date-parts" : [ [ "2013", "1" ] ] }, "page" : "296-311", "title" : "Small molecules modulating AHL-based quorum sensing to attenuate bacteria virulence and biofilms as promising antimicrobial drugs.", "type" : "article-journal", "volume" : "21" }, "uris" : [ "http://www.mendeley.com/documents/?uuid=85aa9171-5b6b-4ef9-b548-f3bdc3145712" ] } ], "mendeley" : { "formattedCitation" : "&lt;sup&gt;106&lt;/sup&gt;", "plainTextFormattedCitation" : "106", "previouslyFormattedCitation" : "&lt;sup&gt;107&lt;/sup&gt;" }, "properties" : { "noteIndex" : 0 }, "schema" : "https://github.com/citation-style-language/schema/raw/master/csl-citation.json" }</w:instrText>
      </w:r>
      <w:r w:rsidR="00A13B78" w:rsidRPr="000767AE">
        <w:rPr>
          <w:rFonts w:ascii="Arial" w:hAnsi="Arial"/>
          <w:sz w:val="24"/>
        </w:rPr>
        <w:fldChar w:fldCharType="separate"/>
      </w:r>
      <w:r w:rsidR="009E0BAE" w:rsidRPr="009E0BAE">
        <w:rPr>
          <w:rFonts w:ascii="Arial" w:hAnsi="Arial"/>
          <w:noProof/>
          <w:sz w:val="24"/>
          <w:vertAlign w:val="superscript"/>
        </w:rPr>
        <w:t>106</w:t>
      </w:r>
      <w:r w:rsidR="00A13B78" w:rsidRPr="000767AE">
        <w:rPr>
          <w:rFonts w:ascii="Arial" w:hAnsi="Arial"/>
          <w:sz w:val="24"/>
        </w:rPr>
        <w:fldChar w:fldCharType="end"/>
      </w:r>
      <w:r w:rsidR="00A053CE" w:rsidRPr="000767AE">
        <w:rPr>
          <w:rFonts w:ascii="Arial" w:hAnsi="Arial"/>
          <w:sz w:val="24"/>
        </w:rPr>
        <w:t xml:space="preserve"> bacteriophage therap</w:t>
      </w:r>
      <w:r w:rsidR="00A053CE" w:rsidRPr="009E0BAE">
        <w:rPr>
          <w:rFonts w:ascii="Arial" w:hAnsi="Arial"/>
          <w:sz w:val="24"/>
          <w:highlight w:val="yellow"/>
        </w:rPr>
        <w:t>y</w:t>
      </w:r>
      <w:r w:rsidR="009E0BAE" w:rsidRPr="009E0BAE">
        <w:rPr>
          <w:rFonts w:ascii="Arial" w:hAnsi="Arial"/>
          <w:sz w:val="24"/>
          <w:highlight w:val="yellow"/>
        </w:rPr>
        <w:t>,</w:t>
      </w:r>
      <w:r w:rsidR="00A053CE" w:rsidRPr="009E0BAE">
        <w:rPr>
          <w:rFonts w:ascii="Arial" w:hAnsi="Arial"/>
          <w:sz w:val="24"/>
          <w:highlight w:val="yellow"/>
        </w:rPr>
        <w:fldChar w:fldCharType="begin" w:fldLock="1"/>
      </w:r>
      <w:r w:rsidR="009E0BAE">
        <w:rPr>
          <w:rFonts w:ascii="Arial" w:hAnsi="Arial"/>
          <w:sz w:val="24"/>
          <w:highlight w:val="yellow"/>
        </w:rPr>
        <w:instrText>ADDIN CSL_CITATION { "citationItems" : [ { "id" : "ITEM-1", "itemData" : { "DOI" : "10.1586/14787210.2013.826990", "ISSN" : "1744-8336", "PMID" : "24053272", "abstract" : "Phage therapy for Pseudomonas aeruginosa infections has been used for more than 50 years. Controlled investigation into its use dates from the early 1990s when positive laboratory studies of local and systemic infection were followed by clinical studies: symptomatic improvement and phage multiplication were seen in a pet dog with otitis and a human with an infected burn. Antibiotic resistance has renewed interest in this approach. There have been recent positive reports in the treatment of experimental animal infection including systemic and respiratory infections. Phages have shown promise against experimental biofilms. Two small recent clinical trials in otitis, of dogs and of human patients have provided some encouraging results. Phage has potential in the treatment of antibiotic resistant infection by P. aeruginosa. Hence, full scale clinical trials are needed.", "author" : [ { "dropping-particle" : "", "family" : "Soothill", "given" : "James", "non-dropping-particle" : "", "parse-names" : false, "suffix" : "" } ], "container-title" : "Expert Review of Anti-infective Therapy", "id" : "ITEM-1", "issue" : "9", "issued" : { "date-parts" : [ [ "2013", "9" ] ] }, "page" : "909-15", "title" : "Use of bacteriophages in the treatment of Pseudomonas aeruginosa infections.", "type" : "article-journal", "volume" : "11" }, "uris" : [ "http://www.mendeley.com/documents/?uuid=d7d5ecd2-03c4-41fb-af14-8f0082557bf2" ] } ], "mendeley" : { "formattedCitation" : "&lt;sup&gt;107&lt;/sup&gt;", "plainTextFormattedCitation" : "107", "previouslyFormattedCitation" : "&lt;sup&gt;108&lt;/sup&gt;" }, "properties" : { "noteIndex" : 0 }, "schema" : "https://github.com/citation-style-language/schema/raw/master/csl-citation.json" }</w:instrText>
      </w:r>
      <w:r w:rsidR="00A053CE" w:rsidRPr="009E0BAE">
        <w:rPr>
          <w:rFonts w:ascii="Arial" w:hAnsi="Arial"/>
          <w:sz w:val="24"/>
          <w:highlight w:val="yellow"/>
        </w:rPr>
        <w:fldChar w:fldCharType="separate"/>
      </w:r>
      <w:r w:rsidR="009E0BAE" w:rsidRPr="009E0BAE">
        <w:rPr>
          <w:rFonts w:ascii="Arial" w:hAnsi="Arial"/>
          <w:noProof/>
          <w:sz w:val="24"/>
          <w:highlight w:val="yellow"/>
          <w:vertAlign w:val="superscript"/>
        </w:rPr>
        <w:t>107</w:t>
      </w:r>
      <w:r w:rsidR="00A053CE" w:rsidRPr="009E0BAE">
        <w:rPr>
          <w:rFonts w:ascii="Arial" w:hAnsi="Arial"/>
          <w:sz w:val="24"/>
          <w:highlight w:val="yellow"/>
        </w:rPr>
        <w:fldChar w:fldCharType="end"/>
      </w:r>
      <w:r w:rsidR="004E70BD" w:rsidRPr="000767AE">
        <w:rPr>
          <w:rFonts w:ascii="Arial" w:hAnsi="Arial"/>
          <w:sz w:val="24"/>
        </w:rPr>
        <w:t xml:space="preserve"> the potential for eco</w:t>
      </w:r>
      <w:r w:rsidR="0010702A" w:rsidRPr="000767AE">
        <w:rPr>
          <w:rFonts w:ascii="Arial" w:hAnsi="Arial"/>
          <w:sz w:val="24"/>
        </w:rPr>
        <w:t>-</w:t>
      </w:r>
      <w:r w:rsidR="004E70BD" w:rsidRPr="000767AE">
        <w:rPr>
          <w:rFonts w:ascii="Arial" w:hAnsi="Arial"/>
          <w:sz w:val="24"/>
        </w:rPr>
        <w:t>biological approaches</w:t>
      </w:r>
      <w:r w:rsidR="006B10C2" w:rsidRPr="000767AE">
        <w:rPr>
          <w:rFonts w:ascii="Arial" w:hAnsi="Arial"/>
          <w:sz w:val="24"/>
        </w:rPr>
        <w:t>,</w:t>
      </w:r>
      <w:r w:rsidR="004E70BD" w:rsidRPr="000767AE">
        <w:rPr>
          <w:rFonts w:ascii="Arial" w:hAnsi="Arial"/>
          <w:sz w:val="24"/>
        </w:rPr>
        <w:fldChar w:fldCharType="begin" w:fldLock="1"/>
      </w:r>
      <w:r w:rsidR="009E0BAE">
        <w:rPr>
          <w:rFonts w:ascii="Arial" w:hAnsi="Arial"/>
          <w:sz w:val="24"/>
        </w:rPr>
        <w:instrText>ADDIN CSL_CITATION { "citationItems" : [ { "id" : "ITEM-1", "itemData" : { "DOI" : "10.1056/NEJMoa1205037", "ISSN" : "1533-4406", "PMID" : "23323867", "abstract" : "BACKGROUND: Recurrent Clostridium difficile infection is difficult to treat, and failure rates for antibiotic therapy are high. We studied the effect of duodenal infusion of donor feces in patients with recurrent C. difficile infection. METHODS: We randomly assigned patients to receive one of three therapies: an initial vancomycin regimen (500 mg orally four times per day for 4 days), followed by bowel lavage and subsequent infusion of a solution of donor feces through a nasoduodenal tube; a standard vancomycin regimen (500 mg orally four times per day for 14 days); or a standard vancomycin regimen with bowel lavage. The primary end point was the resolution of diarrhea associated with C. difficile infection without relapse after 10 weeks. RESULTS: The study was stopped after an interim analysis. Of 16 patients in the infusion group, 13 (81%) had resolution of C. difficile-associated diarrhea after the first infusion. The 3 remaining patients received a second infusion with feces from a different donor, with resolution in 2 patients. Resolution of C. difficile infection occurred in 4 of 13 patients (31%) receiving vancomycin alone and in 3 of 13 patients (23%) receiving vancomycin with bowel lavage (P&lt;0.001 for both comparisons with the infusion group). No significant differences in adverse events among the three study groups were observed except for mild diarrhea and abdominal cramping in the infusion group on the infusion day. After donor-feces infusion, patients showed increased fecal bacterial diversity, similar to that in healthy donors, with an increase in Bacteroidetes species and clostridium clusters IV and XIVa and a decrease in Proteobacteria species. CONCLUSIONS: The infusion of donor feces was significantly more effective for the treatment of recurrent C. difficile infection than the use of vancomycin. (Funded by the Netherlands Organization for Health Research and Development and the Netherlands Organization for Scientific Research; Netherlands Trial Register number, NTR1177.).", "author" : [ { "dropping-particle" : "", "family" : "Nood", "given" : "Els", "non-dropping-particle" : "van", "parse-names" : false, "suffix" : "" }, { "dropping-particle" : "", "family" : "Vrieze", "given" : "Anne", "non-dropping-particle" : "", "parse-names" : false, "suffix" : "" }, { "dropping-particle" : "", "family" : "Nieuwdorp", "given" : "Max", "non-dropping-particle" : "", "parse-names" : false, "suffix" : "" }, { "dropping-particle" : "", "family" : "Fuentes", "given" : "Susana", "non-dropping-particle" : "", "parse-names" : false, "suffix" : "" }, { "dropping-particle" : "", "family" : "Zoetendal", "given" : "Erwin G", "non-dropping-particle" : "", "parse-names" : false, "suffix" : "" }, { "dropping-particle" : "", "family" : "Vos", "given" : "Willem M", "non-dropping-particle" : "de", "parse-names" : false, "suffix" : "" }, { "dropping-particle" : "", "family" : "Visser", "given" : "Caroline E", "non-dropping-particle" : "", "parse-names" : false, "suffix" : "" }, { "dropping-particle" : "", "family" : "Kuijper", "given" : "Ed J", "non-dropping-particle" : "", "parse-names" : false, "suffix" : "" }, { "dropping-particle" : "", "family" : "Bartelsman", "given" : "Joep F W M", "non-dropping-particle" : "", "parse-names" : false, "suffix" : "" }, { "dropping-particle" : "", "family" : "Tijssen", "given" : "Jan G P", "non-dropping-particle" : "", "parse-names" : false, "suffix" : "" }, { "dropping-particle" : "", "family" : "Speelman", "given" : "Peter", "non-dropping-particle" : "", "parse-names" : false, "suffix" : "" }, { "dropping-particle" : "", "family" : "Dijkgraaf", "given" : "Marcel G W", "non-dropping-particle" : "", "parse-names" : false, "suffix" : "" }, { "dropping-particle" : "", "family" : "Keller", "given" : "Josbert J", "non-dropping-particle" : "", "parse-names" : false, "suffix" : "" } ], "container-title" : "New England Journal of Medicine", "id" : "ITEM-1", "issue" : "5", "issued" : { "date-parts" : [ [ "2013", "1", "31" ] ] }, "page" : "407-15", "title" : "Duodenal infusion of donor feces for recurrent Clostridium difficile.", "type" : "article-journal", "volume" : "368" }, "uris" : [ "http://www.mendeley.com/documents/?uuid=92b76e5a-a7d8-437a-8aff-142398e7e6c0" ] } ], "mendeley" : { "formattedCitation" : "&lt;sup&gt;108&lt;/sup&gt;", "plainTextFormattedCitation" : "108", "previouslyFormattedCitation" : "&lt;sup&gt;109&lt;/sup&gt;" }, "properties" : { "noteIndex" : 0 }, "schema" : "https://github.com/citation-style-language/schema/raw/master/csl-citation.json" }</w:instrText>
      </w:r>
      <w:r w:rsidR="004E70BD" w:rsidRPr="000767AE">
        <w:rPr>
          <w:rFonts w:ascii="Arial" w:hAnsi="Arial"/>
          <w:sz w:val="24"/>
        </w:rPr>
        <w:fldChar w:fldCharType="separate"/>
      </w:r>
      <w:r w:rsidR="009E0BAE" w:rsidRPr="009E0BAE">
        <w:rPr>
          <w:rFonts w:ascii="Arial" w:hAnsi="Arial"/>
          <w:noProof/>
          <w:sz w:val="24"/>
          <w:vertAlign w:val="superscript"/>
        </w:rPr>
        <w:t>108</w:t>
      </w:r>
      <w:r w:rsidR="004E70BD" w:rsidRPr="000767AE">
        <w:rPr>
          <w:rFonts w:ascii="Arial" w:hAnsi="Arial"/>
          <w:sz w:val="24"/>
        </w:rPr>
        <w:fldChar w:fldCharType="end"/>
      </w:r>
      <w:r w:rsidR="004E70BD" w:rsidRPr="000767AE">
        <w:rPr>
          <w:rFonts w:ascii="Arial" w:hAnsi="Arial"/>
          <w:sz w:val="24"/>
        </w:rPr>
        <w:t xml:space="preserve"> </w:t>
      </w:r>
      <w:r w:rsidR="005B1087" w:rsidRPr="000767AE">
        <w:rPr>
          <w:rFonts w:ascii="Arial" w:hAnsi="Arial"/>
          <w:sz w:val="24"/>
        </w:rPr>
        <w:t>identification of drug targets that select for reduced bacterial fitness during development of AMR,</w:t>
      </w:r>
      <w:r w:rsidR="00871272" w:rsidRPr="000767AE">
        <w:rPr>
          <w:rFonts w:ascii="Arial" w:hAnsi="Arial"/>
          <w:sz w:val="24"/>
        </w:rPr>
        <w:fldChar w:fldCharType="begin" w:fldLock="1"/>
      </w:r>
      <w:r w:rsidR="0081077D" w:rsidRPr="000767AE">
        <w:rPr>
          <w:rFonts w:ascii="Arial" w:hAnsi="Arial"/>
          <w:sz w:val="24"/>
        </w:rPr>
        <w:instrText>ADDIN CSL_CITATION { "citationItems" : [ { "id" : "ITEM-1", "itemData" : { "DOI" : "10.1038/nrmicro3270", "ISSN" : "1740-1534", "PMID" : "24861036", "abstract" : "The widespread use of antibiotics results in the generation of antibiotic concentration gradients in humans, livestock and the environment. Thus, bacteria are frequently exposed to non-lethal (that is, subinhibitory) concentrations of drugs, and recent evidence suggests that this is likely to have an important role in the evolution of antibiotic resistance. In this Review, we discuss the ecology of antibiotics and the ability of subinhibitory concentrations to select for bacterial resistance. We also consider the effects of low-level drug exposure on bacterial physiology, including the generation of genetic and phenotypic variability, as well as the ability of antibiotics to function as signalling molecules. Together, these effects accelerate the emergence and spread of antibiotic-resistant bacteria among humans and animals.", "author" : [ { "dropping-particle" : "", "family" : "Andersson", "given" : "Dan I", "non-dropping-particle" : "", "parse-names" : false, "suffix" : "" }, { "dropping-particle" : "", "family" : "Hughes", "given" : "Diarmaid", "non-dropping-particle" : "", "parse-names" : false, "suffix" : "" } ], "container-title" : "Nature Reviews Microbiology", "id" : "ITEM-1", "issue" : "7", "issued" : { "date-parts" : [ [ "2014", "7" ] ] }, "page" : "465-78", "publisher" : "Nature Publishing Group", "title" : "Microbiological effects of sublethal levels of antibiotics.", "type" : "article-journal", "volume" : "12" }, "uris" : [ "http://www.mendeley.com/documents/?uuid=6b067274-148f-4f84-9f22-3ec71dadc31c" ] } ], "mendeley" : { "formattedCitation" : "&lt;sup&gt;8&lt;/sup&gt;", "plainTextFormattedCitation" : "8", "previouslyFormattedCitation" : "&lt;sup&gt;8&lt;/sup&gt;" }, "properties" : { "noteIndex" : 0 }, "schema" : "https://github.com/citation-style-language/schema/raw/master/csl-citation.json" }</w:instrText>
      </w:r>
      <w:r w:rsidR="00871272" w:rsidRPr="000767AE">
        <w:rPr>
          <w:rFonts w:ascii="Arial" w:hAnsi="Arial"/>
          <w:sz w:val="24"/>
        </w:rPr>
        <w:fldChar w:fldCharType="separate"/>
      </w:r>
      <w:r w:rsidR="0081077D" w:rsidRPr="000767AE">
        <w:rPr>
          <w:rFonts w:ascii="Arial" w:hAnsi="Arial"/>
          <w:noProof/>
          <w:sz w:val="24"/>
          <w:vertAlign w:val="superscript"/>
        </w:rPr>
        <w:t>8</w:t>
      </w:r>
      <w:r w:rsidR="00871272" w:rsidRPr="000767AE">
        <w:rPr>
          <w:rFonts w:ascii="Arial" w:hAnsi="Arial"/>
          <w:sz w:val="24"/>
        </w:rPr>
        <w:fldChar w:fldCharType="end"/>
      </w:r>
      <w:r w:rsidR="005B1087" w:rsidRPr="000767AE">
        <w:rPr>
          <w:rFonts w:ascii="Arial" w:hAnsi="Arial"/>
          <w:sz w:val="24"/>
        </w:rPr>
        <w:t xml:space="preserve"> </w:t>
      </w:r>
      <w:r w:rsidR="008051B9" w:rsidRPr="000767AE">
        <w:rPr>
          <w:rFonts w:ascii="Arial" w:hAnsi="Arial"/>
          <w:sz w:val="24"/>
        </w:rPr>
        <w:t xml:space="preserve">and </w:t>
      </w:r>
      <w:r w:rsidR="004E70BD" w:rsidRPr="000767AE">
        <w:rPr>
          <w:rFonts w:ascii="Arial" w:hAnsi="Arial"/>
          <w:sz w:val="24"/>
        </w:rPr>
        <w:t>enhancement of host-immune responses</w:t>
      </w:r>
      <w:r w:rsidR="004E70BD" w:rsidRPr="000767AE">
        <w:rPr>
          <w:rFonts w:ascii="Arial" w:hAnsi="Arial"/>
          <w:sz w:val="24"/>
        </w:rPr>
        <w:fldChar w:fldCharType="begin" w:fldLock="1"/>
      </w:r>
      <w:r w:rsidR="009E0BAE">
        <w:rPr>
          <w:rFonts w:ascii="Arial" w:hAnsi="Arial"/>
          <w:sz w:val="24"/>
        </w:rPr>
        <w:instrText>ADDIN CSL_CITATION { "citationItems" : [ { "id" : "ITEM-1", "itemData" : { "DOI" : "10.1016/S1473-3099(08)70281-0", "ISSN" : "1473-3099", "PMID" : "19022193", "abstract" : "Reduction of drug-resistant Streptococcus pneumoniae (DRSP) by pneumococcal conjugate vaccines (PCVs) has recently become a reality. We now know that (1) most clinically significant DRSP strains belong to seven serotypes (6A, 6B, 9V, 14, 19A, 19F, 23F), (2) five (6B, 9V, 14, 19F, 23F) of the seven are constituents of heptavalent PCV (PCV7), and (3) the remaining two serotypes (6A, 19A) are immunologically related to serotypes in PCV7, but only 6A has been reduced by PCV7. Furthermore, PCVs can also reduce DRSP in unvaccinated individuals (herd immunity). PCVs lead to a reduction in antibiotic use, which is also potentially helpful to contain DRSP. Although a reduction in disease caused by most penicillin-resistant strains has been reported, reductions in intermediately penicillin-resistant strains has not been shown to the same degree, because of increased intermediate resistance among non-PCV7 serotypes. Serotype 19A, which is both antibiotic resistant and a common cause of disease, is not affected by PCV7, and is now increasing worldwide, including in countries without PCV7. Continued exposure of non-PCV7 serotypes to antibiotic pressure may reduce the overall impact of PCVs on DRSP. Further strategies include expansion of PCV serotype coverage, development of protein-based vaccines, and further limitation of antibiotic use.", "author" : [ { "dropping-particle" : "", "family" : "Dagan", "given" : "Ron", "non-dropping-particle" : "", "parse-names" : false, "suffix" : "" }, { "dropping-particle" : "", "family" : "Klugman", "given" : "Keith P", "non-dropping-particle" : "", "parse-names" : false, "suffix" : "" } ], "container-title" : "Lancet Infectious Diseases", "id" : "ITEM-1", "issue" : "12", "issued" : { "date-parts" : [ [ "2008", "12" ] ] }, "page" : "785-95", "publisher" : "Elsevier Ltd", "title" : "Impact of conjugate pneumococcal vaccines on antibiotic resistance.", "type" : "article-journal", "volume" : "8" }, "uris" : [ "http://www.mendeley.com/documents/?uuid=63416c56-bdbf-4034-a268-adf1f8249e86" ] }, { "id" : "ITEM-2", "itemData" : { "DOI" : "10.1371/journal.pone.0068940", "ISSN" : "1932-6203", "PMID" : "23935910", "abstract" : "The growing prevalence of antimicrobial resistance in major pathogens is outpacing discovery of new antimicrobial classes. Vaccines mitigate the effect of antimicrobial resistance by reducing the need for treatment, but vaccines for many drug-resistant pathogens remain undiscovered or have limited efficacy, in part because some vaccines selectively favor pathogen strains that escape vaccine-induced immunity. A strain with even a modest advantage in vaccinated hosts can have high fitness in a population with high vaccine coverage, which can offset a strong selection pressure such as antimicrobial use that occurs in a small fraction of hosts. We propose a strategy to target vaccines against drug-resistant pathogens, by using resistance-conferring proteins as antigens in multicomponent vaccines. Resistance determinants may be weakly immunogenic, offering only modest specific protection against resistant strains. Therefore, we assess here how varying the specific efficacy of the vaccine against resistant strains would affect the proportion of drug-resistant vs. -sensitive strains population-wide for three pathogens--Streptococcus pneumoniae, Staphylococcus aureus, and influenza virus--in which drug resistance is a problem. Notably, if such vaccines confer even slightly higher protection (additional efficacy between 1% and 8%) against resistant variants than sensitive ones, they may be an effective tool in controlling the rise of resistant strains, given current levels of use for many antimicrobial agents. We show that the population-wide impact of such vaccines depends on the additional effect on resistant strains and on the overall effect (against all strains). Resistance-conferring accessory gene products or resistant alleles of essential genes could be valuable as components of vaccines even if their specific protective effect is weak.", "author" : [ { "dropping-particle" : "", "family" : "Joice", "given" : "Regina", "non-dropping-particle" : "", "parse-names" : false, "suffix" : "" }, { "dropping-particle" : "", "family" : "Lipsitch", "given" : "Marc", "non-dropping-particle" : "", "parse-names" : false, "suffix" : "" } ], "container-title" : "PloS One", "id" : "ITEM-2", "issue" : "7", "issued" : { "date-parts" : [ [ "2013", "1" ] ] }, "page" : "e68940", "title" : "Targeting imperfect vaccines against drug-resistance determinants: a strategy for countering the rise of drug resistance.", "type" : "article-journal", "volume" : "8" }, "uris" : [ "http://www.mendeley.com/documents/?uuid=0e6d0003-a22e-4377-bf5f-fc162526c72f" ] }, { "id" : "ITEM-3", "itemData" : { "DOI" : "10.1371/journal.pone.0050688", "ISSN" : "1932-6203", "PMID" : "23227198", "abstract" : "Vaccination has proven effective in controlling many infectious diseases. However, differential effectiveness with regard to pathogen genotype is a frequent reason for failures in vaccine development. Often, insufficient immune response is induced to prevent infection by the diversity of existing serotypes present in pathogenic populations of bacteria. These vaccines that target a too narrow spectrum of serotypes do not offer sufficient prevention of infections, and can also lead to undesirable strain replacements. Here, we examine a novel idea to specifically exploit the narrow spectrum coverage of some vaccines to combat specific, emerging multi- and pan-resistant strains of pathogens. Application of a narrow-spectrum vaccine could serve to prevent infections by some strains that are hard to treat, rather than offer the vaccinated individual protection against infections by the pathogenic species as such. We suggest that vaccines targeted to resistant serotypes have the potential to become important public health tools, and would represent a new approach toward reducing the burden of particular multi-resistant strains occurring in hospitals. Vaccines targeting drug-resistant serotypes would also be the first clinical intervention with the potential to drive the evolution of pathogenic populations toward drug-sensitivity. We illustrate the feasibility of this approach by modeling a hypothetical vaccine that targets a subset of methicillin-resistant Staphylococcus aureus (MRSA) genotypes, in combination with drug treatment targeted at drug-sensitive genotypes. We find that a combined intervention strategy can limit nosocomial outbreaks, even when vaccine efficacy is imperfect. The broader utility of vaccine-based resistance control strategies should be further explored taking into account population structure, and the resistance and transmission patterns of the pathogen considered.", "author" : [ { "dropping-particle" : "", "family" : "Tekle", "given" : "Yonas I", "non-dropping-particle" : "", "parse-names" : false, "suffix" : "" }, { "dropping-particle" : "", "family" : "Nielsen", "given" : "Kaare M", "non-dropping-particle" : "", "parse-names" : false, "suffix" : "" }, { "dropping-particle" : "", "family" : "Liu", "given" : "Jingzhou", "non-dropping-particle" : "", "parse-names" : false, "suffix" : "" }, { "dropping-particle" : "", "family" : "Pettigrew", "given" : "Melinda M", "non-dropping-particle" : "", "parse-names" : false, "suffix" : "" }, { "dropping-particle" : "", "family" : "Meyers", "given" : "Lauren a", "non-dropping-particle" : "", "parse-names" : false, "suffix" : "" }, { "dropping-particle" : "", "family" : "Galvani", "given" : "Alison P", "non-dropping-particle" : "", "parse-names" : false, "suffix" : "" }, { "dropping-particle" : "", "family" : "Townsend", "given" : "Jeffrey P", "non-dropping-particle" : "", "parse-names" : false, "suffix" : "" } ], "container-title" : "PloS one", "id" : "ITEM-3", "issue" : "12", "issued" : { "date-parts" : [ [ "2012", "1" ] ] }, "page" : "e50688", "title" : "Controlling antimicrobial resistance through targeted, vaccine-induced replacement of strains.", "type" : "article-journal", "volume" : "7" }, "uris" : [ "http://www.mendeley.com/documents/?uuid=c9255e1a-834e-429f-a5dc-3e616572dfcd" ] } ], "mendeley" : { "formattedCitation" : "&lt;sup&gt;56\u201358&lt;/sup&gt;", "plainTextFormattedCitation" : "56\u201358", "previouslyFormattedCitation" : "&lt;sup&gt;57\u201359&lt;/sup&gt;" }, "properties" : { "noteIndex" : 0 }, "schema" : "https://github.com/citation-style-language/schema/raw/master/csl-citation.json" }</w:instrText>
      </w:r>
      <w:r w:rsidR="004E70BD" w:rsidRPr="000767AE">
        <w:rPr>
          <w:rFonts w:ascii="Arial" w:hAnsi="Arial"/>
          <w:sz w:val="24"/>
        </w:rPr>
        <w:fldChar w:fldCharType="separate"/>
      </w:r>
      <w:r w:rsidR="009E0BAE" w:rsidRPr="009E0BAE">
        <w:rPr>
          <w:rFonts w:ascii="Arial" w:hAnsi="Arial"/>
          <w:noProof/>
          <w:sz w:val="24"/>
          <w:vertAlign w:val="superscript"/>
        </w:rPr>
        <w:t>56–58</w:t>
      </w:r>
      <w:r w:rsidR="004E70BD" w:rsidRPr="000767AE">
        <w:rPr>
          <w:rFonts w:ascii="Arial" w:hAnsi="Arial"/>
          <w:sz w:val="24"/>
        </w:rPr>
        <w:fldChar w:fldCharType="end"/>
      </w:r>
      <w:r w:rsidR="00A053CE" w:rsidRPr="000767AE">
        <w:rPr>
          <w:rFonts w:ascii="Arial" w:hAnsi="Arial"/>
          <w:sz w:val="24"/>
        </w:rPr>
        <w:t xml:space="preserve"> </w:t>
      </w:r>
      <w:r w:rsidR="008051B9" w:rsidRPr="000767AE">
        <w:rPr>
          <w:rFonts w:ascii="Arial" w:hAnsi="Arial"/>
          <w:sz w:val="24"/>
        </w:rPr>
        <w:t>including host-</w:t>
      </w:r>
      <w:r w:rsidR="00932DA3" w:rsidRPr="000767AE">
        <w:rPr>
          <w:rFonts w:ascii="Arial" w:hAnsi="Arial"/>
          <w:sz w:val="24"/>
        </w:rPr>
        <w:t>directed therapy.</w:t>
      </w:r>
      <w:r w:rsidR="00932DA3" w:rsidRPr="000767AE">
        <w:rPr>
          <w:rFonts w:ascii="Arial" w:hAnsi="Arial"/>
          <w:sz w:val="24"/>
        </w:rPr>
        <w:fldChar w:fldCharType="begin" w:fldLock="1"/>
      </w:r>
      <w:r w:rsidR="009E0BAE">
        <w:rPr>
          <w:rFonts w:ascii="Arial" w:hAnsi="Arial"/>
          <w:sz w:val="24"/>
        </w:rPr>
        <w:instrText>ADDIN CSL_CITATION { "citationItems" : [ { "id" : "ITEM-1", "itemData" : { "DOI" : "10.1128/mBio.01534-14", "ISSN" : "21507511", "PMID" : "25073644", "abstract" : "ABSTRACTWe sought a new approach to treating infections by intracellular bacteria, namely, by altering host cell functions that support their growth. We screened a library of 640 Food and Drug Administration (FDA)-approved compounds for agents that render THP-1 cells resistant to infection by four intracellular pathogens. We identified numerous drugs that are not antibiotics but were highly effective in inhibiting intracellular bacterial growth with limited toxicity to host cells. These compounds are likely to target three kinds of host functions: (i) G protein-coupled receptors, (ii) intracellular calcium signals, and (iii) membrane cholesterol distribution. The compounds that targeted G protein receptor signaling and calcium fluxes broadly inhibited Coxiella burnetii, Legionella pneumophila, Brucella abortus, and Rickettsia conorii, while those directed against cholesterol traffic strongly attenuated the intracellular growth of C. burnetii and L. pneumophila. These pathways probably support intracellular pathogen growth so that drugs that perturb them may be therapeutic candidates. Combining host- and pathogen-directed treatments is a strategy to decrease the emergence of drug-resistant intracellular bacterial pathogens. IMPORTANCE Although antibiotic treatment is often successful, it is becoming clear that alternatives to conventional pathogen-directed therapy must be developed in the face of increasing antibiotic resistance. Moreover, the costs and timing associated with the development of novel antimicrobials make repurposed FDA-approved drugs attractive host-targeted therapeutics. This paper describes a novel approach of identifying such host-targeted therapeutics against intracellular bacterial pathogens. We identified several FDA-approved drugs that inhibit the growth of intracellular bacteria, thereby implicating host intracellular pathways presumably utilized by bacteria during infection. IMPORTANCEAlthough antibiotic treatment is often successful, it is becoming clear that alternatives to conventional pathogen-directed therapy must be developed in the face of increasing antibiotic resistance. Moreover, the costs and timing associated with the development of novel antimicrobials make repurposed FDA-approved drugs attractive host-targeted therapeutics. This paper describes a novel approach of identifying such host-targeted therapeutics against intracellular bacterial pathogens. We identified several FDA-approved drugs that inhibit the growth of\u2026", "author" : [ { "dropping-particle" : "", "family" : "Czyz", "given" : "Daniel M.", "non-dropping-particle" : "", "parse-names" : false, "suffix" : "" }, { "dropping-particle" : "", "family" : "Potluri", "given" : "Lakshmi-Prasad", "non-dropping-particle" : "", "parse-names" : false, "suffix" : "" }, { "dropping-particle" : "", "family" : "Jain-Gupta", "given" : "Neeta", "non-dropping-particle" : "", "parse-names" : false, "suffix" : "" }, { "dropping-particle" : "", "family" : "Riley", "given" : "Sean P.", "non-dropping-particle" : "", "parse-names" : false, "suffix" : "" }, { "dropping-particle" : "", "family" : "Martinez", "given" : "Juan J.", "non-dropping-particle" : "", "parse-names" : false, "suffix" : "" }, { "dropping-particle" : "", "family" : "Steck", "given" : "Theodore L.", "non-dropping-particle" : "", "parse-names" : false, "suffix" : "" }, { "dropping-particle" : "", "family" : "Crosson", "given" : "Sean", "non-dropping-particle" : "", "parse-names" : false, "suffix" : "" }, { "dropping-particle" : "", "family" : "Shuman", "given" : "Howard Q.", "non-dropping-particle" : "", "parse-names" : false, "suffix" : "" }, { "dropping-particle" : "", "family" : "Gabay", "given" : "Joelle E.", "non-dropping-particle" : "", "parse-names" : false, "suffix" : "" } ], "container-title" : "mBio", "id" : "ITEM-1", "issue" : "4", "issued" : { "date-parts" : [ [ "2014" ] ] }, "page" : "e01534-14", "title" : "Host-Directed Antimicrobial Drugs with Broad-Spectrum Efficacy against Intracellular Bacterial Pathogens", "type" : "article-journal", "volume" : "5" }, "uris" : [ "http://www.mendeley.com/documents/?uuid=52dd416d-a090-4ed9-aedf-7dcc79dd5afe" ] } ], "mendeley" : { "formattedCitation" : "&lt;sup&gt;109&lt;/sup&gt;", "plainTextFormattedCitation" : "109", "previouslyFormattedCitation" : "&lt;sup&gt;110&lt;/sup&gt;" }, "properties" : { "noteIndex" : 0 }, "schema" : "https://github.com/citation-style-language/schema/raw/master/csl-citation.json" }</w:instrText>
      </w:r>
      <w:r w:rsidR="00932DA3" w:rsidRPr="000767AE">
        <w:rPr>
          <w:rFonts w:ascii="Arial" w:hAnsi="Arial"/>
          <w:sz w:val="24"/>
        </w:rPr>
        <w:fldChar w:fldCharType="separate"/>
      </w:r>
      <w:r w:rsidR="009E0BAE" w:rsidRPr="009E0BAE">
        <w:rPr>
          <w:rFonts w:ascii="Arial" w:hAnsi="Arial"/>
          <w:noProof/>
          <w:sz w:val="24"/>
          <w:vertAlign w:val="superscript"/>
        </w:rPr>
        <w:t>109</w:t>
      </w:r>
      <w:r w:rsidR="00932DA3" w:rsidRPr="000767AE">
        <w:rPr>
          <w:rFonts w:ascii="Arial" w:hAnsi="Arial"/>
          <w:sz w:val="24"/>
        </w:rPr>
        <w:fldChar w:fldCharType="end"/>
      </w:r>
    </w:p>
    <w:p w14:paraId="0BC105C6" w14:textId="77777777" w:rsidR="00A053CE" w:rsidRPr="000767AE" w:rsidRDefault="00A053CE" w:rsidP="00A053CE">
      <w:pPr>
        <w:rPr>
          <w:rFonts w:ascii="Arial" w:hAnsi="Arial" w:cs="Arial"/>
          <w:sz w:val="24"/>
          <w:szCs w:val="24"/>
          <w:lang w:val="en-US"/>
        </w:rPr>
      </w:pPr>
    </w:p>
    <w:p w14:paraId="110AD211" w14:textId="77777777" w:rsidR="00200BAD" w:rsidRPr="000767AE" w:rsidRDefault="00200BAD" w:rsidP="00A053CE">
      <w:pPr>
        <w:rPr>
          <w:rFonts w:ascii="Arial" w:hAnsi="Arial" w:cs="Arial"/>
          <w:sz w:val="24"/>
          <w:szCs w:val="24"/>
          <w:lang w:val="en-US"/>
        </w:rPr>
      </w:pPr>
    </w:p>
    <w:p w14:paraId="2C84D0DB" w14:textId="57E8E115" w:rsidR="003E5C71" w:rsidRPr="000767AE" w:rsidRDefault="003E5C71" w:rsidP="003E5C71">
      <w:pPr>
        <w:pStyle w:val="Heading2"/>
        <w:spacing w:before="0"/>
        <w:rPr>
          <w:rFonts w:ascii="Arial" w:hAnsi="Arial"/>
          <w:b/>
          <w:sz w:val="24"/>
        </w:rPr>
      </w:pPr>
      <w:r w:rsidRPr="000767AE">
        <w:rPr>
          <w:rFonts w:ascii="Arial" w:hAnsi="Arial"/>
          <w:b/>
          <w:sz w:val="24"/>
        </w:rPr>
        <w:t>Conclusion</w:t>
      </w:r>
    </w:p>
    <w:p w14:paraId="09873AB4" w14:textId="77777777" w:rsidR="003E5C71" w:rsidRPr="000767AE" w:rsidRDefault="003E5C71" w:rsidP="00A053CE">
      <w:pPr>
        <w:rPr>
          <w:rFonts w:ascii="Arial" w:hAnsi="Arial" w:cs="Arial"/>
          <w:sz w:val="24"/>
          <w:szCs w:val="24"/>
          <w:lang w:val="en-US"/>
        </w:rPr>
      </w:pPr>
    </w:p>
    <w:p w14:paraId="0D5E7013" w14:textId="2CAEE51F" w:rsidR="00917A2A" w:rsidRPr="000767AE" w:rsidRDefault="003E5C71">
      <w:pPr>
        <w:contextualSpacing/>
        <w:rPr>
          <w:rFonts w:ascii="Arial" w:hAnsi="Arial" w:cs="Arial"/>
          <w:sz w:val="24"/>
          <w:szCs w:val="24"/>
          <w:lang w:val="en-US"/>
        </w:rPr>
      </w:pPr>
      <w:r w:rsidRPr="000767AE">
        <w:rPr>
          <w:rFonts w:ascii="Arial" w:hAnsi="Arial" w:cs="Arial"/>
          <w:sz w:val="24"/>
          <w:szCs w:val="24"/>
          <w:lang w:val="en-US"/>
        </w:rPr>
        <w:t xml:space="preserve">Many of the drivers of AMR have a common origin in </w:t>
      </w:r>
      <w:r w:rsidR="00E121F2" w:rsidRPr="000767AE">
        <w:rPr>
          <w:rFonts w:ascii="Arial" w:hAnsi="Arial" w:cs="Arial"/>
          <w:sz w:val="24"/>
          <w:szCs w:val="24"/>
          <w:lang w:val="en-US"/>
        </w:rPr>
        <w:t xml:space="preserve">inappropriate use </w:t>
      </w:r>
      <w:r w:rsidRPr="000767AE">
        <w:rPr>
          <w:rFonts w:ascii="Arial" w:hAnsi="Arial" w:cs="Arial"/>
          <w:sz w:val="24"/>
          <w:szCs w:val="24"/>
          <w:lang w:val="en-US"/>
        </w:rPr>
        <w:t xml:space="preserve">of antimicrobials in </w:t>
      </w:r>
      <w:r w:rsidR="00BC5746" w:rsidRPr="000767AE">
        <w:rPr>
          <w:rFonts w:ascii="Arial" w:hAnsi="Arial" w:cs="Arial"/>
          <w:sz w:val="24"/>
          <w:szCs w:val="24"/>
          <w:lang w:val="en-US"/>
        </w:rPr>
        <w:t xml:space="preserve">human and animal </w:t>
      </w:r>
      <w:r w:rsidR="00676707" w:rsidRPr="000767AE">
        <w:rPr>
          <w:rFonts w:ascii="Arial" w:hAnsi="Arial" w:cs="Arial"/>
          <w:sz w:val="24"/>
          <w:szCs w:val="24"/>
          <w:lang w:val="en-US"/>
        </w:rPr>
        <w:t>healthcare</w:t>
      </w:r>
      <w:r w:rsidR="00C239E0" w:rsidRPr="000767AE">
        <w:rPr>
          <w:rFonts w:ascii="Arial" w:hAnsi="Arial" w:cs="Arial"/>
          <w:sz w:val="24"/>
          <w:szCs w:val="24"/>
          <w:lang w:val="en-US"/>
        </w:rPr>
        <w:t xml:space="preserve"> or</w:t>
      </w:r>
      <w:r w:rsidR="00676707" w:rsidRPr="000767AE">
        <w:rPr>
          <w:rFonts w:ascii="Arial" w:hAnsi="Arial" w:cs="Arial"/>
          <w:sz w:val="24"/>
          <w:szCs w:val="24"/>
          <w:lang w:val="en-US"/>
        </w:rPr>
        <w:t xml:space="preserve"> </w:t>
      </w:r>
      <w:r w:rsidR="00D73275" w:rsidRPr="000767AE">
        <w:rPr>
          <w:rFonts w:ascii="Arial" w:hAnsi="Arial" w:cs="Arial"/>
          <w:sz w:val="24"/>
          <w:szCs w:val="24"/>
          <w:lang w:val="en-US"/>
        </w:rPr>
        <w:t xml:space="preserve">in </w:t>
      </w:r>
      <w:r w:rsidR="00676707" w:rsidRPr="000767AE">
        <w:rPr>
          <w:rFonts w:ascii="Arial" w:hAnsi="Arial" w:cs="Arial"/>
          <w:sz w:val="24"/>
          <w:szCs w:val="24"/>
          <w:lang w:val="en-US"/>
        </w:rPr>
        <w:t>agriculture</w:t>
      </w:r>
      <w:r w:rsidRPr="000767AE">
        <w:rPr>
          <w:rFonts w:ascii="Arial" w:hAnsi="Arial" w:cs="Arial"/>
          <w:sz w:val="24"/>
          <w:szCs w:val="24"/>
          <w:lang w:val="en-US"/>
        </w:rPr>
        <w:t xml:space="preserve">, or </w:t>
      </w:r>
      <w:r w:rsidR="00C239E0" w:rsidRPr="000767AE">
        <w:rPr>
          <w:rFonts w:ascii="Arial" w:hAnsi="Arial" w:cs="Arial"/>
          <w:sz w:val="24"/>
          <w:szCs w:val="24"/>
          <w:lang w:val="en-US"/>
        </w:rPr>
        <w:t xml:space="preserve">from </w:t>
      </w:r>
      <w:r w:rsidRPr="000767AE">
        <w:rPr>
          <w:rFonts w:ascii="Arial" w:hAnsi="Arial" w:cs="Arial"/>
          <w:sz w:val="24"/>
          <w:szCs w:val="24"/>
          <w:lang w:val="en-US"/>
        </w:rPr>
        <w:t>environment</w:t>
      </w:r>
      <w:r w:rsidR="00E121F2" w:rsidRPr="000767AE">
        <w:rPr>
          <w:rFonts w:ascii="Arial" w:hAnsi="Arial" w:cs="Arial"/>
          <w:sz w:val="24"/>
          <w:szCs w:val="24"/>
          <w:lang w:val="en-US"/>
        </w:rPr>
        <w:t>al</w:t>
      </w:r>
      <w:r w:rsidRPr="000767AE">
        <w:rPr>
          <w:rFonts w:ascii="Arial" w:hAnsi="Arial" w:cs="Arial"/>
          <w:sz w:val="24"/>
          <w:szCs w:val="24"/>
          <w:lang w:val="en-US"/>
        </w:rPr>
        <w:t xml:space="preserve"> </w:t>
      </w:r>
      <w:r w:rsidR="00E121F2" w:rsidRPr="000767AE">
        <w:rPr>
          <w:rFonts w:ascii="Arial" w:hAnsi="Arial" w:cs="Arial"/>
          <w:sz w:val="24"/>
          <w:szCs w:val="24"/>
          <w:lang w:val="en-US"/>
        </w:rPr>
        <w:t>contamination</w:t>
      </w:r>
      <w:r w:rsidRPr="000767AE">
        <w:rPr>
          <w:rFonts w:ascii="Arial" w:hAnsi="Arial" w:cs="Arial"/>
          <w:sz w:val="24"/>
          <w:szCs w:val="24"/>
          <w:lang w:val="en-US"/>
        </w:rPr>
        <w:t xml:space="preserve">. Whilst our understanding of AMR is far from complete, </w:t>
      </w:r>
      <w:r w:rsidR="00C575F3" w:rsidRPr="000767AE">
        <w:rPr>
          <w:rFonts w:ascii="Arial" w:hAnsi="Arial" w:cs="Arial"/>
          <w:sz w:val="24"/>
          <w:szCs w:val="24"/>
          <w:lang w:val="en-US"/>
        </w:rPr>
        <w:t xml:space="preserve">the existing </w:t>
      </w:r>
      <w:r w:rsidR="00626C06" w:rsidRPr="000767AE">
        <w:rPr>
          <w:rFonts w:ascii="Arial" w:hAnsi="Arial" w:cs="Arial"/>
          <w:sz w:val="24"/>
          <w:szCs w:val="24"/>
          <w:lang w:val="en-US"/>
        </w:rPr>
        <w:t xml:space="preserve">evidence base </w:t>
      </w:r>
      <w:r w:rsidR="00861E88" w:rsidRPr="000767AE">
        <w:rPr>
          <w:rFonts w:ascii="Arial" w:hAnsi="Arial" w:cs="Arial"/>
          <w:sz w:val="24"/>
          <w:szCs w:val="24"/>
          <w:lang w:val="en-US"/>
        </w:rPr>
        <w:t>is sufficient to</w:t>
      </w:r>
      <w:r w:rsidR="00C575F3" w:rsidRPr="000767AE">
        <w:rPr>
          <w:rFonts w:ascii="Arial" w:hAnsi="Arial" w:cs="Arial"/>
          <w:sz w:val="24"/>
          <w:szCs w:val="24"/>
          <w:lang w:val="en-US"/>
        </w:rPr>
        <w:t xml:space="preserve"> allow targeted policies t</w:t>
      </w:r>
      <w:r w:rsidR="0081077D" w:rsidRPr="000767AE">
        <w:rPr>
          <w:rFonts w:ascii="Arial" w:hAnsi="Arial" w:cs="Arial"/>
          <w:sz w:val="24"/>
          <w:szCs w:val="24"/>
          <w:lang w:val="en-US"/>
        </w:rPr>
        <w:t>o be developed in several areas</w:t>
      </w:r>
      <w:r w:rsidR="00626C06" w:rsidRPr="000767AE">
        <w:rPr>
          <w:rFonts w:ascii="Arial" w:hAnsi="Arial" w:cs="Arial"/>
          <w:sz w:val="24"/>
          <w:szCs w:val="24"/>
          <w:lang w:val="en-US"/>
        </w:rPr>
        <w:t>.</w:t>
      </w:r>
      <w:r w:rsidR="0081077D" w:rsidRPr="000767AE">
        <w:rPr>
          <w:rFonts w:ascii="Arial" w:hAnsi="Arial" w:cs="Arial"/>
          <w:sz w:val="24"/>
          <w:szCs w:val="24"/>
          <w:lang w:val="en-US"/>
        </w:rPr>
        <w:fldChar w:fldCharType="begin" w:fldLock="1"/>
      </w:r>
      <w:r w:rsidR="0081077D" w:rsidRPr="000767AE">
        <w:rPr>
          <w:rFonts w:ascii="Arial" w:hAnsi="Arial" w:cs="Arial"/>
          <w:sz w:val="24"/>
          <w:szCs w:val="24"/>
          <w:lang w:val="en-US"/>
        </w:rPr>
        <w:instrText>ADDIN CSL_CITATION { "citationItems" : [ { "id" : "ITEM-1", "itemData" : { "author" : [ { "dropping-particle" : "", "family" : "Mendelson", "given" : "Marc", "non-dropping-particle" : "", "parse-names" : false, "suffix" : "" }, { "dropping-particle" : "", "family" : "Balasegaram", "given" : "Manica", "non-dropping-particle" : "", "parse-names" : false, "suffix" : "" }, { "dropping-particle" : "", "family" : "Gopinathan", "given" : "Unni", "non-dropping-particle" : "", "parse-names" : false, "suffix" : "" }, { "dropping-particle" : "", "family" : "Hamer", "given" : "Davidson H", "non-dropping-particle" : "", "parse-names" : false, "suffix" : "" }, { "dropping-particle" : "", "family" : "Wertheim", "given" : "Heiman", "non-dropping-particle" : "", "parse-names" : false, "suffix" : "" }, { "dropping-particle" : "", "family" : "Basnyat", "given" : "Buddha", "non-dropping-particle" : "", "parse-names" : false, "suffix" : "" }, { "dropping-particle" : "", "family" : "Butler", "given" : "Christopher", "non-dropping-particle" : "", "parse-names" : false, "suffix" : "" }, { "dropping-particle" : "", "family" : "Tomson", "given" : "Goran", "non-dropping-particle" : "", "parse-names" : false, "suffix" : "" } ], "container-title" : "The Lancet", "id" : "ITEM-1", "issued" : { "date-parts" : [ [ "2015" ] ] }, "page" : "[under review]", "title" : "Maximising access whilst curbing excess: achieving appropriate human antimicrobial use in low and middle income countries", "type" : "article-journal" }, "uris" : [ "http://www.mendeley.com/documents/?uuid=0d943487-97f5-4f75-939a-2018fe556c0b" ] }, { "id" : "ITEM-2", "itemData" : { "author" : [ { "dropping-particle" : "", "family" : "Dar", "given" : "Osman", "non-dropping-particle" : "", "parse-names" : false, "suffix" : "" }, { "dropping-particle" : "", "family" : "Hasan", "given" : "Rumina", "non-dropping-particle" : "", "parse-names" : false, "suffix" : "" }, { "dropping-particle" : "", "family" : "Schlndt", "given" : "JOrgen", "non-dropping-particle" : "", "parse-names" : false, "suffix" : "" }, { "dropping-particle" : "", "family" : "Harbarth", "given" : "Stephan", "non-dropping-particle" : "", "parse-names" : false, "suffix" : "" }, { "dropping-particle" : "", "family" : "Caleo", "given" : "Grazia", "non-dropping-particle" : "", "parse-names" : false, "suffix" : "" }, { "dropping-particle" : "", "family" : "Dar", "given" : "Fazal", "non-dropping-particle" : "", "parse-names" : false, "suffix" : "" }, { "dropping-particle" : "", "family" : "Littman", "given" : "Jasper", "non-dropping-particle" : "", "parse-names" : false, "suffix" : "" }, { "dropping-particle" : "", "family" : "Rweyemamu", "given" : "Mark", "non-dropping-particle" : "", "parse-names" : false, "suffix" : "" }, { "dropping-particle" : "", "family" : "Bucley", "given" : "Emily", "non-dropping-particle" : "", "parse-names" : false, "suffix" : "" }, { "dropping-particle" : "", "family" : "Shahid", "given" : "MOhammed", "non-dropping-particle" : "", "parse-names" : false, "suffix" : "" }, { "dropping-particle" : "", "family" : "Kock", "given" : "Richard", "non-dropping-particle" : "", "parse-names" : false, "suffix" : "" }, { "dropping-particle" : "", "family" : "Lishi Li", "given" : "Henry", "non-dropping-particle" : "", "parse-names" : false, "suffix" : "" }, { "dropping-particle" : "", "family" : "Giha", "given" : "Heydar", "non-dropping-particle" : "", "parse-names" : false, "suffix" : "" }, { "dropping-particle" : "", "family" : "Khan", "given" : "Mishal", "non-dropping-particle" : "", "parse-names" : false, "suffix" : "" }, { "dropping-particle" : "", "family" : "So", "given" : "Anthony", "non-dropping-particle" : "", "parse-names" : false, "suffix" : "" }, { "dropping-particle" : "", "family" : "Bindayna", "given" : "Khalid M", "non-dropping-particle" : "", "parse-names" : false, "suffix" : "" }, { "dropping-particle" : "", "family" : "Kessel", "given" : "Anthony", "non-dropping-particle" : "", "parse-names" : false, "suffix" : "" }, { "dropping-particle" : "", "family" : "Bak Pedersen", "given" : "Hanne", "non-dropping-particle" : "", "parse-names" : false, "suffix" : "" }, { "dropping-particle" : "", "family" : "Permanand", "given" : "Govin", "non-dropping-particle" : "", "parse-names" : false, "suffix" : "" }, { "dropping-particle" : "", "family" : "Zumla", "given" : "Alimuddin", "non-dropping-particle" : "", "parse-names" : false, "suffix" : "" }, { "dropping-particle" : "", "family" : "Heymann", "given" : "David L.", "non-dropping-particle" : "", "parse-names" : false, "suffix" : "" } ], "container-title" : "The Lancet", "id" : "ITEM-2", "issued" : { "date-parts" : [ [ "2015" ] ] }, "page" : "[under review]", "title" : "Effective antimicrobials in an era of growing resistance: exploring the evidence base for policy interventions.", "type" : "article-journal" }, "uris" : [ "http://www.mendeley.com/documents/?uuid=9b27ee56-a704-453c-875a-2e403aad1683" ] }, { "id" : "ITEM-3", "itemData" : { "author" : [ { "dropping-particle" : "", "family" : "Ardal", "given" : "Christine", "non-dropping-particle" : "", "parse-names" : false, "suffix" : "" }, { "dropping-particle" : "", "family" : "Outerson", "given" : "Kevin", "non-dropping-particle" : "", "parse-names" : false, "suffix" : "" }, { "dropping-particle" : "", "family" : "Hoffman", "given" : "Steven J", "non-dropping-particle" : "", "parse-names" : false, "suffix" : "" }, { "dropping-particle" : "", "family" : "GHafur", "given" : "Abdul", "non-dropping-particle" : "", "parse-names" : false, "suffix" : "" }, { "dropping-particle" : "", "family" : "Sharland", "given" : "Mike", "non-dropping-particle" : "", "parse-names" : false, "suffix" : "" }, { "dropping-particle" : "", "family" : "Ranganathan", "given" : "NIsha", "non-dropping-particle" : "", "parse-names" : false, "suffix" : "" }, { "dropping-particle" : "", "family" : "Smith", "given" : "RIchard", "non-dropping-particle" : "", "parse-names" : false, "suffix" : "" }, { "dropping-particle" : "", "family" : "Zorzet", "given" : "Anna", "non-dropping-particle" : "", "parse-names" : false, "suffix" : "" }, { "dropping-particle" : "", "family" : "Sande", "given" : "Nienke", "non-dropping-particle" : "van de", "parse-names" : false, "suffix" : "" }, { "dropping-particle" : "", "family" : "Cohn", "given" : "Jennifer", "non-dropping-particle" : "", "parse-names" : false, "suffix" : "" }, { "dropping-particle" : "", "family" : "Pittet", "given" : "Didier", "non-dropping-particle" : "", "parse-names" : false, "suffix" : "" }, { "dropping-particle" : "", "family" : "Daulaire", "given" : "Nils", "non-dropping-particle" : "", "parse-names" : false, "suffix" : "" }, { "dropping-particle" : "", "family" : "Morel", "given" : "Chantal", "non-dropping-particle" : "", "parse-names" : false, "suffix" : "" }, { "dropping-particle" : "", "family" : "Rizvi", "given" : "Zain", "non-dropping-particle" : "", "parse-names" : false, "suffix" : "" }, { "dropping-particle" : "", "family" : "Rottengen", "given" : "John-Arne", "non-dropping-particle" : "", "parse-names" : false, "suffix" : "" } ], "container-title" : "The Lancet", "id" : "ITEM-3", "issued" : { "date-parts" : [ [ "2015" ] ] }, "page" : "[under review]", "title" : "Effective international collaboration to improve access to and sustain effectiveness of antimicrobials.", "type" : "article-journal" }, "uris" : [ "http://www.mendeley.com/documents/?uuid=d4c56356-2675-4255-8a6f-a9c2e63909f8" ] } ], "mendeley" : { "formattedCitation" : "&lt;sup&gt;2\u20134&lt;/sup&gt;", "plainTextFormattedCitation" : "2\u20134", "previouslyFormattedCitation" : "&lt;sup&gt;2\u20134&lt;/sup&gt;" }, "properties" : { "noteIndex" : 0 }, "schema" : "https://github.com/citation-style-language/schema/raw/master/csl-citation.json" }</w:instrText>
      </w:r>
      <w:r w:rsidR="0081077D" w:rsidRPr="000767AE">
        <w:rPr>
          <w:rFonts w:ascii="Arial" w:hAnsi="Arial" w:cs="Arial"/>
          <w:sz w:val="24"/>
          <w:szCs w:val="24"/>
          <w:lang w:val="en-US"/>
        </w:rPr>
        <w:fldChar w:fldCharType="separate"/>
      </w:r>
      <w:r w:rsidR="0081077D" w:rsidRPr="000767AE">
        <w:rPr>
          <w:rFonts w:ascii="Arial" w:hAnsi="Arial" w:cs="Arial"/>
          <w:noProof/>
          <w:sz w:val="24"/>
          <w:szCs w:val="24"/>
          <w:vertAlign w:val="superscript"/>
          <w:lang w:val="en-US"/>
        </w:rPr>
        <w:t>2–4</w:t>
      </w:r>
      <w:r w:rsidR="0081077D" w:rsidRPr="000767AE">
        <w:rPr>
          <w:rFonts w:ascii="Arial" w:hAnsi="Arial" w:cs="Arial"/>
          <w:sz w:val="24"/>
          <w:szCs w:val="24"/>
          <w:lang w:val="en-US"/>
        </w:rPr>
        <w:fldChar w:fldCharType="end"/>
      </w:r>
      <w:r w:rsidR="00626C06" w:rsidRPr="000767AE">
        <w:rPr>
          <w:rFonts w:ascii="Arial" w:hAnsi="Arial" w:cs="Arial"/>
          <w:sz w:val="24"/>
          <w:szCs w:val="24"/>
          <w:lang w:val="en-US"/>
        </w:rPr>
        <w:t xml:space="preserve"> </w:t>
      </w:r>
      <w:proofErr w:type="gramStart"/>
      <w:r w:rsidR="00CF6C59" w:rsidRPr="000767AE">
        <w:rPr>
          <w:rFonts w:ascii="Arial" w:hAnsi="Arial" w:cs="Arial"/>
          <w:sz w:val="24"/>
          <w:szCs w:val="24"/>
          <w:lang w:val="en-US"/>
        </w:rPr>
        <w:t>Such</w:t>
      </w:r>
      <w:proofErr w:type="gramEnd"/>
      <w:r w:rsidR="00626C06" w:rsidRPr="000767AE">
        <w:rPr>
          <w:rFonts w:ascii="Arial" w:hAnsi="Arial" w:cs="Arial"/>
          <w:sz w:val="24"/>
          <w:szCs w:val="24"/>
          <w:lang w:val="en-US"/>
        </w:rPr>
        <w:t xml:space="preserve"> </w:t>
      </w:r>
      <w:r w:rsidR="00D73275" w:rsidRPr="000767AE">
        <w:rPr>
          <w:rFonts w:ascii="Arial" w:hAnsi="Arial" w:cs="Arial"/>
          <w:sz w:val="24"/>
          <w:szCs w:val="24"/>
          <w:lang w:val="en-US"/>
        </w:rPr>
        <w:t xml:space="preserve">strategies to </w:t>
      </w:r>
      <w:r w:rsidR="00626C06" w:rsidRPr="000767AE">
        <w:rPr>
          <w:rFonts w:ascii="Arial" w:hAnsi="Arial" w:cs="Arial"/>
          <w:sz w:val="24"/>
          <w:szCs w:val="24"/>
          <w:lang w:val="en-US"/>
        </w:rPr>
        <w:t>m</w:t>
      </w:r>
      <w:r w:rsidR="00A053CE" w:rsidRPr="000767AE">
        <w:rPr>
          <w:rFonts w:ascii="Arial" w:hAnsi="Arial" w:cs="Arial"/>
          <w:sz w:val="24"/>
          <w:szCs w:val="24"/>
          <w:lang w:val="en-US"/>
        </w:rPr>
        <w:t>inimis</w:t>
      </w:r>
      <w:r w:rsidR="00D73275" w:rsidRPr="000767AE">
        <w:rPr>
          <w:rFonts w:ascii="Arial" w:hAnsi="Arial" w:cs="Arial"/>
          <w:sz w:val="24"/>
          <w:szCs w:val="24"/>
          <w:lang w:val="en-US"/>
        </w:rPr>
        <w:t>e</w:t>
      </w:r>
      <w:r w:rsidR="00A053CE" w:rsidRPr="000767AE">
        <w:rPr>
          <w:rFonts w:ascii="Arial" w:hAnsi="Arial" w:cs="Arial"/>
          <w:sz w:val="24"/>
          <w:szCs w:val="24"/>
          <w:lang w:val="en-US"/>
        </w:rPr>
        <w:t xml:space="preserve"> </w:t>
      </w:r>
      <w:r w:rsidR="00D73275" w:rsidRPr="000767AE">
        <w:rPr>
          <w:rFonts w:ascii="Arial" w:hAnsi="Arial" w:cs="Arial"/>
          <w:sz w:val="24"/>
          <w:szCs w:val="24"/>
          <w:lang w:val="en-US"/>
        </w:rPr>
        <w:t xml:space="preserve">AMR must consider the </w:t>
      </w:r>
      <w:r w:rsidR="00F418B7" w:rsidRPr="000767AE">
        <w:rPr>
          <w:rFonts w:ascii="Arial" w:hAnsi="Arial" w:cs="Arial"/>
          <w:sz w:val="24"/>
          <w:szCs w:val="24"/>
          <w:lang w:val="en-US"/>
        </w:rPr>
        <w:t xml:space="preserve">role and </w:t>
      </w:r>
      <w:r w:rsidR="00D73275" w:rsidRPr="000767AE">
        <w:rPr>
          <w:rFonts w:ascii="Arial" w:hAnsi="Arial" w:cs="Arial"/>
          <w:sz w:val="24"/>
          <w:szCs w:val="24"/>
          <w:lang w:val="en-US"/>
        </w:rPr>
        <w:t>influence of</w:t>
      </w:r>
      <w:r w:rsidR="00A053CE" w:rsidRPr="000767AE">
        <w:rPr>
          <w:rFonts w:ascii="Arial" w:hAnsi="Arial" w:cs="Arial"/>
          <w:sz w:val="24"/>
          <w:szCs w:val="24"/>
          <w:lang w:val="en-US"/>
        </w:rPr>
        <w:t xml:space="preserve"> </w:t>
      </w:r>
      <w:r w:rsidR="00F418B7" w:rsidRPr="000767AE">
        <w:rPr>
          <w:rFonts w:ascii="Arial" w:hAnsi="Arial" w:cs="Arial"/>
          <w:sz w:val="24"/>
          <w:szCs w:val="24"/>
          <w:lang w:val="en-US"/>
        </w:rPr>
        <w:t>many factors, including</w:t>
      </w:r>
      <w:r w:rsidR="00A053CE" w:rsidRPr="000767AE">
        <w:rPr>
          <w:rFonts w:ascii="Arial" w:hAnsi="Arial" w:cs="Arial"/>
          <w:sz w:val="24"/>
          <w:szCs w:val="24"/>
          <w:lang w:val="en-US"/>
        </w:rPr>
        <w:t xml:space="preserve"> </w:t>
      </w:r>
      <w:r w:rsidR="00F418B7" w:rsidRPr="000767AE">
        <w:rPr>
          <w:rFonts w:ascii="Arial" w:hAnsi="Arial" w:cs="Arial"/>
          <w:sz w:val="24"/>
          <w:szCs w:val="24"/>
          <w:lang w:val="en-US"/>
        </w:rPr>
        <w:t xml:space="preserve">the </w:t>
      </w:r>
      <w:r w:rsidR="00A053CE" w:rsidRPr="000767AE">
        <w:rPr>
          <w:rFonts w:ascii="Arial" w:hAnsi="Arial" w:cs="Arial"/>
          <w:sz w:val="24"/>
          <w:szCs w:val="24"/>
          <w:lang w:val="en-US"/>
        </w:rPr>
        <w:t>resistance mechanism</w:t>
      </w:r>
      <w:r w:rsidR="00F418B7" w:rsidRPr="000767AE">
        <w:rPr>
          <w:rFonts w:ascii="Arial" w:hAnsi="Arial" w:cs="Arial"/>
          <w:sz w:val="24"/>
          <w:szCs w:val="24"/>
          <w:lang w:val="en-US"/>
        </w:rPr>
        <w:t>s</w:t>
      </w:r>
      <w:r w:rsidR="00A053CE" w:rsidRPr="000767AE">
        <w:rPr>
          <w:rFonts w:ascii="Arial" w:hAnsi="Arial" w:cs="Arial"/>
          <w:sz w:val="24"/>
          <w:szCs w:val="24"/>
          <w:lang w:val="en-US"/>
        </w:rPr>
        <w:t xml:space="preserve">, species of micro-organism, the </w:t>
      </w:r>
      <w:r w:rsidR="00D73275" w:rsidRPr="000767AE">
        <w:rPr>
          <w:rFonts w:ascii="Arial" w:hAnsi="Arial" w:cs="Arial"/>
          <w:sz w:val="24"/>
          <w:szCs w:val="24"/>
          <w:lang w:val="en-US"/>
        </w:rPr>
        <w:t xml:space="preserve">particular </w:t>
      </w:r>
      <w:r w:rsidR="00626C06" w:rsidRPr="000767AE">
        <w:rPr>
          <w:rFonts w:ascii="Arial" w:hAnsi="Arial" w:cs="Arial"/>
          <w:sz w:val="24"/>
          <w:szCs w:val="24"/>
          <w:lang w:val="en-US"/>
        </w:rPr>
        <w:t xml:space="preserve">antimicrobial, </w:t>
      </w:r>
      <w:r w:rsidR="00F418B7" w:rsidRPr="000767AE">
        <w:rPr>
          <w:rFonts w:ascii="Arial" w:hAnsi="Arial" w:cs="Arial"/>
          <w:sz w:val="24"/>
          <w:szCs w:val="24"/>
          <w:lang w:val="en-US"/>
        </w:rPr>
        <w:t>as well as</w:t>
      </w:r>
      <w:r w:rsidRPr="000767AE">
        <w:rPr>
          <w:rFonts w:ascii="Arial" w:hAnsi="Arial" w:cs="Arial"/>
          <w:sz w:val="24"/>
          <w:szCs w:val="24"/>
          <w:lang w:val="en-US"/>
        </w:rPr>
        <w:t xml:space="preserve"> the setting</w:t>
      </w:r>
      <w:r w:rsidR="00D73275" w:rsidRPr="000767AE">
        <w:rPr>
          <w:rFonts w:ascii="Arial" w:hAnsi="Arial" w:cs="Arial"/>
          <w:sz w:val="24"/>
          <w:szCs w:val="24"/>
          <w:lang w:val="en-US"/>
        </w:rPr>
        <w:t xml:space="preserve"> and context. </w:t>
      </w:r>
      <w:r w:rsidR="007953C1" w:rsidRPr="000767AE">
        <w:rPr>
          <w:rFonts w:ascii="Arial" w:hAnsi="Arial" w:cs="Arial"/>
          <w:sz w:val="24"/>
          <w:szCs w:val="24"/>
          <w:lang w:val="en-US"/>
        </w:rPr>
        <w:t>So far, all evidence indicates that there is no single solution and multi</w:t>
      </w:r>
      <w:r w:rsidR="00D73275" w:rsidRPr="000767AE">
        <w:rPr>
          <w:rFonts w:ascii="Arial" w:hAnsi="Arial" w:cs="Arial"/>
          <w:sz w:val="24"/>
          <w:szCs w:val="24"/>
          <w:lang w:val="en-US"/>
        </w:rPr>
        <w:t>ple</w:t>
      </w:r>
      <w:r w:rsidR="007953C1" w:rsidRPr="000767AE">
        <w:rPr>
          <w:rFonts w:ascii="Arial" w:hAnsi="Arial" w:cs="Arial"/>
          <w:sz w:val="24"/>
          <w:szCs w:val="24"/>
          <w:lang w:val="en-US"/>
        </w:rPr>
        <w:t xml:space="preserve">, overlapping and </w:t>
      </w:r>
      <w:r w:rsidR="00FA5327" w:rsidRPr="000767AE">
        <w:rPr>
          <w:rFonts w:ascii="Arial" w:hAnsi="Arial" w:cs="Arial"/>
          <w:sz w:val="24"/>
          <w:szCs w:val="24"/>
          <w:lang w:val="en-US"/>
        </w:rPr>
        <w:t>synergistic</w:t>
      </w:r>
      <w:r w:rsidR="00FE1D27" w:rsidRPr="000767AE">
        <w:rPr>
          <w:rFonts w:ascii="Arial" w:hAnsi="Arial" w:cs="Arial"/>
          <w:sz w:val="24"/>
          <w:szCs w:val="24"/>
          <w:lang w:val="en-US"/>
        </w:rPr>
        <w:t xml:space="preserve"> approaches will be needed. </w:t>
      </w:r>
      <w:r w:rsidR="00D131D8" w:rsidRPr="000767AE">
        <w:rPr>
          <w:rFonts w:ascii="Arial" w:hAnsi="Arial" w:cs="Arial"/>
          <w:sz w:val="24"/>
          <w:szCs w:val="24"/>
          <w:lang w:val="en-US"/>
        </w:rPr>
        <w:t xml:space="preserve">Furthermore these </w:t>
      </w:r>
      <w:r w:rsidR="00DC55E6" w:rsidRPr="000767AE">
        <w:rPr>
          <w:rFonts w:ascii="Arial" w:hAnsi="Arial" w:cs="Arial"/>
          <w:sz w:val="24"/>
          <w:szCs w:val="24"/>
          <w:lang w:val="en-US"/>
        </w:rPr>
        <w:t xml:space="preserve">must be </w:t>
      </w:r>
      <w:r w:rsidR="00D131D8" w:rsidRPr="000767AE">
        <w:rPr>
          <w:rFonts w:ascii="Arial" w:hAnsi="Arial" w:cs="Arial"/>
          <w:sz w:val="24"/>
          <w:szCs w:val="24"/>
          <w:lang w:val="en-US"/>
        </w:rPr>
        <w:t xml:space="preserve">coordinated at national and international levels, </w:t>
      </w:r>
      <w:r w:rsidR="00B21D2A">
        <w:rPr>
          <w:rFonts w:ascii="Arial" w:hAnsi="Arial" w:cs="Arial"/>
          <w:sz w:val="24"/>
          <w:szCs w:val="24"/>
          <w:lang w:val="en-US"/>
        </w:rPr>
        <w:t>whilst</w:t>
      </w:r>
      <w:r w:rsidR="00D131D8" w:rsidRPr="000767AE">
        <w:rPr>
          <w:rFonts w:ascii="Arial" w:hAnsi="Arial" w:cs="Arial"/>
          <w:sz w:val="24"/>
          <w:szCs w:val="24"/>
          <w:lang w:val="en-US"/>
        </w:rPr>
        <w:t xml:space="preserve"> engag</w:t>
      </w:r>
      <w:r w:rsidR="00B21D2A">
        <w:rPr>
          <w:rFonts w:ascii="Arial" w:hAnsi="Arial" w:cs="Arial"/>
          <w:sz w:val="24"/>
          <w:szCs w:val="24"/>
          <w:lang w:val="en-US"/>
        </w:rPr>
        <w:t>ing</w:t>
      </w:r>
      <w:r w:rsidR="00D131D8" w:rsidRPr="000767AE">
        <w:rPr>
          <w:rFonts w:ascii="Arial" w:hAnsi="Arial" w:cs="Arial"/>
          <w:sz w:val="24"/>
          <w:szCs w:val="24"/>
          <w:lang w:val="en-US"/>
        </w:rPr>
        <w:t xml:space="preserve"> local stakeholders to ensure widespread implementation. </w:t>
      </w:r>
      <w:r w:rsidR="00FE1D27" w:rsidRPr="000767AE">
        <w:rPr>
          <w:rFonts w:ascii="Arial" w:hAnsi="Arial" w:cs="Arial"/>
          <w:sz w:val="24"/>
          <w:szCs w:val="24"/>
          <w:lang w:val="en-US"/>
        </w:rPr>
        <w:t>The approaches should be</w:t>
      </w:r>
      <w:r w:rsidR="007953C1" w:rsidRPr="000767AE">
        <w:rPr>
          <w:rFonts w:ascii="Arial" w:hAnsi="Arial" w:cs="Arial"/>
          <w:sz w:val="24"/>
          <w:szCs w:val="24"/>
          <w:lang w:val="en-US"/>
        </w:rPr>
        <w:t xml:space="preserve"> mindful of </w:t>
      </w:r>
      <w:r w:rsidR="00D73275" w:rsidRPr="000767AE">
        <w:rPr>
          <w:rFonts w:ascii="Arial" w:hAnsi="Arial" w:cs="Arial"/>
          <w:sz w:val="24"/>
          <w:szCs w:val="24"/>
          <w:lang w:val="en-US"/>
        </w:rPr>
        <w:t xml:space="preserve">any potential </w:t>
      </w:r>
      <w:r w:rsidR="00FE1D27" w:rsidRPr="000767AE">
        <w:rPr>
          <w:rFonts w:ascii="Arial" w:hAnsi="Arial" w:cs="Arial"/>
          <w:sz w:val="24"/>
          <w:szCs w:val="24"/>
          <w:lang w:val="en-US"/>
        </w:rPr>
        <w:t xml:space="preserve">unintended consequences and </w:t>
      </w:r>
      <w:r w:rsidR="0066639C" w:rsidRPr="000767AE">
        <w:rPr>
          <w:rFonts w:ascii="Arial" w:hAnsi="Arial" w:cs="Arial"/>
          <w:sz w:val="24"/>
          <w:szCs w:val="24"/>
          <w:lang w:val="en-US"/>
        </w:rPr>
        <w:t xml:space="preserve">should share a </w:t>
      </w:r>
      <w:r w:rsidR="007953C1" w:rsidRPr="000767AE">
        <w:rPr>
          <w:rFonts w:ascii="Arial" w:hAnsi="Arial" w:cs="Arial"/>
          <w:sz w:val="24"/>
          <w:szCs w:val="24"/>
          <w:lang w:val="en-US"/>
        </w:rPr>
        <w:t>strong overarching</w:t>
      </w:r>
      <w:r w:rsidR="00D73275" w:rsidRPr="000767AE">
        <w:rPr>
          <w:rFonts w:ascii="Arial" w:hAnsi="Arial" w:cs="Arial"/>
          <w:sz w:val="24"/>
          <w:szCs w:val="24"/>
          <w:lang w:val="en-US"/>
        </w:rPr>
        <w:t xml:space="preserve"> </w:t>
      </w:r>
      <w:r w:rsidR="0066639C" w:rsidRPr="000767AE">
        <w:rPr>
          <w:rFonts w:ascii="Arial" w:hAnsi="Arial" w:cs="Arial"/>
          <w:sz w:val="24"/>
          <w:szCs w:val="24"/>
          <w:lang w:val="en-US"/>
        </w:rPr>
        <w:t xml:space="preserve">goal </w:t>
      </w:r>
      <w:r w:rsidR="007953C1" w:rsidRPr="000767AE">
        <w:rPr>
          <w:rFonts w:ascii="Arial" w:hAnsi="Arial" w:cs="Arial"/>
          <w:sz w:val="24"/>
          <w:szCs w:val="24"/>
          <w:lang w:val="en-US"/>
        </w:rPr>
        <w:t>to ensure access to effective antimicrobial therapies for this generation and for the future.</w:t>
      </w:r>
    </w:p>
    <w:p w14:paraId="39629186" w14:textId="77777777" w:rsidR="00660147" w:rsidRPr="000767AE" w:rsidRDefault="00660147">
      <w:pPr>
        <w:spacing w:after="200" w:line="276" w:lineRule="auto"/>
        <w:rPr>
          <w:rFonts w:ascii="Arial" w:eastAsiaTheme="majorEastAsia" w:hAnsi="Arial" w:cstheme="majorBidi"/>
          <w:b/>
          <w:color w:val="365F91" w:themeColor="accent1" w:themeShade="BF"/>
          <w:sz w:val="24"/>
          <w:szCs w:val="26"/>
        </w:rPr>
      </w:pPr>
      <w:r w:rsidRPr="000767AE">
        <w:rPr>
          <w:rFonts w:ascii="Arial" w:hAnsi="Arial"/>
          <w:b/>
          <w:sz w:val="24"/>
        </w:rPr>
        <w:br w:type="page"/>
      </w:r>
    </w:p>
    <w:p w14:paraId="7AFE3EB3" w14:textId="07393994" w:rsidR="00A1615F" w:rsidRPr="000767AE" w:rsidRDefault="00984997" w:rsidP="0010702A">
      <w:pPr>
        <w:pStyle w:val="Heading2"/>
        <w:spacing w:before="0"/>
        <w:rPr>
          <w:rFonts w:ascii="Arial" w:hAnsi="Arial"/>
          <w:b/>
          <w:sz w:val="24"/>
        </w:rPr>
      </w:pPr>
      <w:r w:rsidRPr="000767AE">
        <w:rPr>
          <w:rFonts w:ascii="Arial" w:hAnsi="Arial"/>
          <w:b/>
          <w:sz w:val="24"/>
        </w:rPr>
        <w:lastRenderedPageBreak/>
        <w:t>Word Count</w:t>
      </w:r>
      <w:r w:rsidR="00917A2A" w:rsidRPr="000767AE">
        <w:rPr>
          <w:rFonts w:ascii="Arial" w:hAnsi="Arial"/>
          <w:b/>
          <w:sz w:val="24"/>
        </w:rPr>
        <w:t xml:space="preserve"> </w:t>
      </w:r>
    </w:p>
    <w:p w14:paraId="49A18AA3" w14:textId="0D96A7A9" w:rsidR="00FA6483" w:rsidRPr="000767AE" w:rsidRDefault="0081077D" w:rsidP="00984997">
      <w:pPr>
        <w:rPr>
          <w:rFonts w:ascii="Arial" w:hAnsi="Arial" w:cs="Arial"/>
          <w:sz w:val="24"/>
          <w:szCs w:val="24"/>
        </w:rPr>
      </w:pPr>
      <w:r w:rsidRPr="000767AE">
        <w:rPr>
          <w:rFonts w:ascii="Arial" w:hAnsi="Arial" w:cs="Arial"/>
          <w:sz w:val="24"/>
          <w:szCs w:val="24"/>
        </w:rPr>
        <w:t>Abstract: 144</w:t>
      </w:r>
    </w:p>
    <w:p w14:paraId="3A7543A1" w14:textId="0B8A40D4" w:rsidR="00EA50D1" w:rsidRPr="000767AE" w:rsidRDefault="00FA6483" w:rsidP="00984997">
      <w:pPr>
        <w:rPr>
          <w:rFonts w:ascii="Arial" w:hAnsi="Arial" w:cs="Arial"/>
          <w:sz w:val="24"/>
          <w:szCs w:val="24"/>
        </w:rPr>
      </w:pPr>
      <w:r w:rsidRPr="000767AE">
        <w:rPr>
          <w:rFonts w:ascii="Arial" w:hAnsi="Arial" w:cs="Arial"/>
          <w:sz w:val="24"/>
          <w:szCs w:val="24"/>
        </w:rPr>
        <w:t xml:space="preserve">Manuscript: </w:t>
      </w:r>
      <w:r w:rsidR="00B75BA7" w:rsidRPr="000767AE">
        <w:rPr>
          <w:rFonts w:ascii="Arial" w:hAnsi="Arial" w:cs="Arial"/>
          <w:sz w:val="24"/>
          <w:szCs w:val="24"/>
        </w:rPr>
        <w:t>45</w:t>
      </w:r>
      <w:r w:rsidR="00B21D2A">
        <w:rPr>
          <w:rFonts w:ascii="Arial" w:hAnsi="Arial" w:cs="Arial"/>
          <w:sz w:val="24"/>
          <w:szCs w:val="24"/>
        </w:rPr>
        <w:t>33</w:t>
      </w:r>
    </w:p>
    <w:p w14:paraId="399A391B" w14:textId="5B21129F" w:rsidR="00EA50D1" w:rsidRPr="000767AE" w:rsidRDefault="00EA50D1" w:rsidP="00984997">
      <w:pPr>
        <w:rPr>
          <w:rFonts w:ascii="Arial" w:hAnsi="Arial" w:cs="Arial"/>
          <w:sz w:val="24"/>
          <w:szCs w:val="24"/>
        </w:rPr>
      </w:pPr>
      <w:r w:rsidRPr="000767AE">
        <w:rPr>
          <w:rFonts w:ascii="Arial" w:hAnsi="Arial" w:cs="Arial"/>
          <w:sz w:val="24"/>
          <w:szCs w:val="24"/>
        </w:rPr>
        <w:t>Panel 1: 4</w:t>
      </w:r>
      <w:r w:rsidR="00194288">
        <w:rPr>
          <w:rFonts w:ascii="Arial" w:hAnsi="Arial" w:cs="Arial"/>
          <w:sz w:val="24"/>
          <w:szCs w:val="24"/>
        </w:rPr>
        <w:t>47</w:t>
      </w:r>
    </w:p>
    <w:p w14:paraId="0F437BDC" w14:textId="1A139475" w:rsidR="00530C49" w:rsidRPr="000767AE" w:rsidRDefault="00530C49" w:rsidP="00984997">
      <w:pPr>
        <w:rPr>
          <w:rFonts w:ascii="Arial" w:hAnsi="Arial" w:cs="Arial"/>
          <w:sz w:val="24"/>
          <w:szCs w:val="24"/>
        </w:rPr>
      </w:pPr>
      <w:r w:rsidRPr="000767AE">
        <w:rPr>
          <w:rFonts w:ascii="Arial" w:hAnsi="Arial" w:cs="Arial"/>
          <w:sz w:val="24"/>
          <w:szCs w:val="24"/>
        </w:rPr>
        <w:t>Panel 2: 4</w:t>
      </w:r>
      <w:r w:rsidR="00C8340F">
        <w:rPr>
          <w:rFonts w:ascii="Arial" w:hAnsi="Arial" w:cs="Arial"/>
          <w:sz w:val="24"/>
          <w:szCs w:val="24"/>
        </w:rPr>
        <w:t>69</w:t>
      </w:r>
    </w:p>
    <w:p w14:paraId="39E467FE" w14:textId="77777777" w:rsidR="00A44130" w:rsidRPr="000767AE" w:rsidRDefault="00A44130" w:rsidP="00984997">
      <w:pPr>
        <w:rPr>
          <w:rFonts w:ascii="Arial" w:hAnsi="Arial" w:cs="Arial"/>
          <w:sz w:val="24"/>
          <w:szCs w:val="24"/>
        </w:rPr>
      </w:pPr>
    </w:p>
    <w:p w14:paraId="65EB64B8" w14:textId="77777777" w:rsidR="00984997" w:rsidRPr="000767AE" w:rsidRDefault="00984997" w:rsidP="00984997">
      <w:pPr>
        <w:rPr>
          <w:rFonts w:ascii="Arial" w:hAnsi="Arial" w:cs="Arial"/>
          <w:sz w:val="24"/>
          <w:szCs w:val="24"/>
        </w:rPr>
      </w:pPr>
    </w:p>
    <w:p w14:paraId="1283C7A7" w14:textId="3414EA69" w:rsidR="00984997" w:rsidRPr="000767AE" w:rsidRDefault="00984997" w:rsidP="0010702A">
      <w:pPr>
        <w:pStyle w:val="Heading2"/>
        <w:spacing w:before="0"/>
        <w:rPr>
          <w:rFonts w:ascii="Arial" w:hAnsi="Arial"/>
          <w:b/>
          <w:sz w:val="24"/>
        </w:rPr>
      </w:pPr>
      <w:r w:rsidRPr="000767AE">
        <w:rPr>
          <w:rFonts w:ascii="Arial" w:hAnsi="Arial"/>
          <w:b/>
          <w:sz w:val="24"/>
        </w:rPr>
        <w:t>Conflict of Interest</w:t>
      </w:r>
    </w:p>
    <w:p w14:paraId="648F1F38" w14:textId="5FE17C16" w:rsidR="00A1615F" w:rsidRPr="000767AE" w:rsidRDefault="003E3715" w:rsidP="00984997">
      <w:pPr>
        <w:rPr>
          <w:rFonts w:ascii="Arial" w:hAnsi="Arial" w:cs="Arial"/>
          <w:sz w:val="24"/>
          <w:szCs w:val="24"/>
        </w:rPr>
      </w:pPr>
      <w:r w:rsidRPr="000767AE">
        <w:rPr>
          <w:rFonts w:ascii="Arial" w:hAnsi="Arial" w:cs="Arial"/>
          <w:sz w:val="24"/>
          <w:szCs w:val="24"/>
        </w:rPr>
        <w:t xml:space="preserve">A.H.H &amp; L.S.P.M have consulted </w:t>
      </w:r>
      <w:r w:rsidR="00EF794A" w:rsidRPr="000767AE">
        <w:rPr>
          <w:rFonts w:ascii="Arial" w:hAnsi="Arial" w:cs="Arial"/>
          <w:sz w:val="24"/>
          <w:szCs w:val="24"/>
        </w:rPr>
        <w:t>for bioMérieux</w:t>
      </w:r>
      <w:r w:rsidR="003D678B" w:rsidRPr="000767AE">
        <w:rPr>
          <w:rFonts w:ascii="Arial" w:hAnsi="Arial" w:cs="Arial"/>
          <w:sz w:val="24"/>
          <w:szCs w:val="24"/>
        </w:rPr>
        <w:t xml:space="preserve"> (2013 and 2014</w:t>
      </w:r>
      <w:r w:rsidR="00C513CC" w:rsidRPr="000767AE">
        <w:rPr>
          <w:rFonts w:ascii="Arial" w:hAnsi="Arial" w:cs="Arial"/>
          <w:sz w:val="24"/>
          <w:szCs w:val="24"/>
        </w:rPr>
        <w:t xml:space="preserve"> respectively</w:t>
      </w:r>
      <w:r w:rsidR="003D678B" w:rsidRPr="000767AE">
        <w:rPr>
          <w:rFonts w:ascii="Arial" w:hAnsi="Arial" w:cs="Arial"/>
          <w:sz w:val="24"/>
          <w:szCs w:val="24"/>
        </w:rPr>
        <w:t>)</w:t>
      </w:r>
      <w:r w:rsidR="00C513CC" w:rsidRPr="000767AE">
        <w:rPr>
          <w:rFonts w:ascii="Arial" w:hAnsi="Arial" w:cs="Arial"/>
          <w:sz w:val="24"/>
          <w:szCs w:val="24"/>
        </w:rPr>
        <w:t>. All other authors no conflict of interests to declare</w:t>
      </w:r>
      <w:r w:rsidR="00EF794A" w:rsidRPr="000767AE">
        <w:rPr>
          <w:rFonts w:ascii="Arial" w:hAnsi="Arial" w:cs="Arial"/>
          <w:sz w:val="24"/>
          <w:szCs w:val="24"/>
        </w:rPr>
        <w:t>.</w:t>
      </w:r>
    </w:p>
    <w:p w14:paraId="61AD811B" w14:textId="77777777" w:rsidR="00984997" w:rsidRPr="000767AE" w:rsidRDefault="00984997" w:rsidP="00984997">
      <w:pPr>
        <w:rPr>
          <w:rFonts w:ascii="Arial" w:hAnsi="Arial" w:cs="Arial"/>
          <w:b/>
          <w:sz w:val="24"/>
          <w:szCs w:val="24"/>
        </w:rPr>
      </w:pPr>
    </w:p>
    <w:p w14:paraId="583ED9E0" w14:textId="0C296B99" w:rsidR="00984997" w:rsidRPr="000767AE" w:rsidRDefault="00984997" w:rsidP="0010702A">
      <w:pPr>
        <w:pStyle w:val="Heading2"/>
        <w:spacing w:before="0"/>
        <w:rPr>
          <w:rFonts w:ascii="Arial" w:hAnsi="Arial"/>
          <w:b/>
          <w:sz w:val="24"/>
        </w:rPr>
      </w:pPr>
      <w:r w:rsidRPr="000767AE">
        <w:rPr>
          <w:rFonts w:ascii="Arial" w:hAnsi="Arial"/>
          <w:b/>
          <w:sz w:val="24"/>
        </w:rPr>
        <w:t>Acknowledgments</w:t>
      </w:r>
    </w:p>
    <w:p w14:paraId="2FDB8202" w14:textId="77777777" w:rsidR="0038640F" w:rsidRPr="000767AE" w:rsidRDefault="000D12A9" w:rsidP="00984997">
      <w:pPr>
        <w:contextualSpacing/>
        <w:rPr>
          <w:rFonts w:ascii="Arial" w:hAnsi="Arial" w:cs="Arial"/>
          <w:sz w:val="24"/>
          <w:szCs w:val="24"/>
          <w:lang w:val="en-US"/>
        </w:rPr>
      </w:pPr>
      <w:r w:rsidRPr="000767AE">
        <w:rPr>
          <w:rFonts w:ascii="Arial" w:hAnsi="Arial" w:cs="Arial"/>
          <w:sz w:val="24"/>
          <w:szCs w:val="24"/>
          <w:lang w:val="en-US"/>
        </w:rPr>
        <w:t>A.H.H &amp; L.S.P.M acknowledge the support of the National Institute of Health Research Imperial Biomedical Research Centre, the UK Clinical Research Collaboration who fund the Centre for Infection Prevention and Management (UKCRC G0800777) and the National Institute for Health Research Health Protection Research Unit (NIHR HPRU) in Healthcare Associated Infection and Antimicrobial Resistance at Imperial College London in partnership with Public Health England (PHE). </w:t>
      </w:r>
      <w:r w:rsidR="0091616A" w:rsidRPr="000767AE">
        <w:rPr>
          <w:rFonts w:ascii="Arial" w:hAnsi="Arial" w:cs="Arial"/>
          <w:sz w:val="24"/>
          <w:szCs w:val="24"/>
          <w:lang w:val="en-US"/>
        </w:rPr>
        <w:t>A.S acknowledge</w:t>
      </w:r>
      <w:r w:rsidR="00EF13C4" w:rsidRPr="000767AE">
        <w:rPr>
          <w:rFonts w:ascii="Arial" w:hAnsi="Arial" w:cs="Arial"/>
          <w:sz w:val="24"/>
          <w:szCs w:val="24"/>
          <w:lang w:val="en-US"/>
        </w:rPr>
        <w:t>s</w:t>
      </w:r>
      <w:r w:rsidR="0091616A" w:rsidRPr="000767AE">
        <w:rPr>
          <w:rFonts w:ascii="Arial" w:hAnsi="Arial" w:cs="Arial"/>
          <w:sz w:val="24"/>
          <w:szCs w:val="24"/>
          <w:lang w:val="en-US"/>
        </w:rPr>
        <w:t xml:space="preserve"> support from </w:t>
      </w:r>
      <w:r w:rsidR="00BC5746" w:rsidRPr="000767AE">
        <w:rPr>
          <w:rFonts w:ascii="Arial" w:hAnsi="Arial" w:cs="Arial"/>
          <w:sz w:val="24"/>
          <w:szCs w:val="24"/>
          <w:lang w:val="en-US"/>
        </w:rPr>
        <w:t>The Research Council of Norway</w:t>
      </w:r>
      <w:r w:rsidR="0091616A" w:rsidRPr="000767AE">
        <w:rPr>
          <w:rFonts w:ascii="Arial" w:hAnsi="Arial" w:cs="Arial"/>
          <w:sz w:val="24"/>
          <w:szCs w:val="24"/>
          <w:lang w:val="en-US"/>
        </w:rPr>
        <w:t>, Northern Norway Regional Health Authority Medical Research Programme and the Norwegian Ministry of Health and Care Services.</w:t>
      </w:r>
      <w:r w:rsidR="00CA64F7" w:rsidRPr="000767AE">
        <w:rPr>
          <w:rFonts w:ascii="Arial" w:hAnsi="Arial" w:cs="Arial"/>
          <w:sz w:val="24"/>
          <w:szCs w:val="24"/>
          <w:lang w:val="en-US"/>
        </w:rPr>
        <w:t xml:space="preserve"> M.S. acknowledges support from the Norwegian Institute of Public Health.</w:t>
      </w:r>
      <w:r w:rsidR="0091616A" w:rsidRPr="000767AE">
        <w:rPr>
          <w:rFonts w:ascii="Arial" w:hAnsi="Arial" w:cs="Arial"/>
          <w:sz w:val="24"/>
          <w:szCs w:val="24"/>
          <w:lang w:val="en-US"/>
        </w:rPr>
        <w:t xml:space="preserve"> </w:t>
      </w:r>
      <w:r w:rsidR="00FD4F1F" w:rsidRPr="000767AE">
        <w:rPr>
          <w:rFonts w:ascii="Arial" w:hAnsi="Arial" w:cs="Arial"/>
          <w:sz w:val="24"/>
          <w:szCs w:val="24"/>
          <w:lang w:val="en-US"/>
        </w:rPr>
        <w:t xml:space="preserve">We acknowledge </w:t>
      </w:r>
      <w:r w:rsidR="008C208B" w:rsidRPr="000767AE">
        <w:rPr>
          <w:rFonts w:ascii="Arial" w:hAnsi="Arial" w:cs="Arial"/>
          <w:sz w:val="24"/>
          <w:szCs w:val="24"/>
          <w:lang w:val="en-US"/>
        </w:rPr>
        <w:t xml:space="preserve">and are grateful to </w:t>
      </w:r>
      <w:proofErr w:type="spellStart"/>
      <w:r w:rsidR="00FD4F1F" w:rsidRPr="000767AE">
        <w:rPr>
          <w:rFonts w:ascii="Arial" w:hAnsi="Arial" w:cs="Arial"/>
          <w:sz w:val="24"/>
          <w:szCs w:val="24"/>
          <w:lang w:val="en-US"/>
        </w:rPr>
        <w:t>Dr</w:t>
      </w:r>
      <w:proofErr w:type="spellEnd"/>
      <w:r w:rsidR="00FD4F1F" w:rsidRPr="000767AE">
        <w:rPr>
          <w:rFonts w:ascii="Arial" w:hAnsi="Arial" w:cs="Arial"/>
          <w:sz w:val="24"/>
          <w:szCs w:val="24"/>
          <w:lang w:val="en-US"/>
        </w:rPr>
        <w:t xml:space="preserve"> Jonathan Read and Professor Tom Solomon</w:t>
      </w:r>
      <w:r w:rsidR="008C208B" w:rsidRPr="000767AE">
        <w:rPr>
          <w:rFonts w:ascii="Arial" w:hAnsi="Arial" w:cs="Arial"/>
          <w:sz w:val="24"/>
          <w:szCs w:val="24"/>
          <w:lang w:val="en-US"/>
        </w:rPr>
        <w:t xml:space="preserve"> in depicting the flight path concentration data. </w:t>
      </w:r>
      <w:r w:rsidRPr="000767AE">
        <w:rPr>
          <w:rFonts w:ascii="Arial" w:hAnsi="Arial" w:cs="Arial"/>
          <w:sz w:val="24"/>
          <w:szCs w:val="24"/>
          <w:lang w:val="en-US"/>
        </w:rPr>
        <w:t xml:space="preserve">The views expressed are those of the authors and not necessarily those of the NHS, the NIHR, the </w:t>
      </w:r>
      <w:r w:rsidR="00CA64F7" w:rsidRPr="000767AE">
        <w:rPr>
          <w:rFonts w:ascii="Arial" w:hAnsi="Arial" w:cs="Arial"/>
          <w:sz w:val="24"/>
          <w:szCs w:val="24"/>
          <w:lang w:val="en-US"/>
        </w:rPr>
        <w:t xml:space="preserve">UK </w:t>
      </w:r>
      <w:r w:rsidRPr="000767AE">
        <w:rPr>
          <w:rFonts w:ascii="Arial" w:hAnsi="Arial" w:cs="Arial"/>
          <w:sz w:val="24"/>
          <w:szCs w:val="24"/>
          <w:lang w:val="en-US"/>
        </w:rPr>
        <w:t>Department of Health</w:t>
      </w:r>
      <w:r w:rsidR="00871272" w:rsidRPr="000767AE">
        <w:rPr>
          <w:rFonts w:ascii="Arial" w:hAnsi="Arial" w:cs="Arial"/>
          <w:sz w:val="24"/>
          <w:szCs w:val="24"/>
          <w:lang w:val="en-US"/>
        </w:rPr>
        <w:t>,</w:t>
      </w:r>
      <w:r w:rsidRPr="000767AE">
        <w:rPr>
          <w:rFonts w:ascii="Arial" w:hAnsi="Arial" w:cs="Arial"/>
          <w:sz w:val="24"/>
          <w:szCs w:val="24"/>
          <w:lang w:val="en-US"/>
        </w:rPr>
        <w:t xml:space="preserve"> Public Health England</w:t>
      </w:r>
      <w:r w:rsidR="00456DB7" w:rsidRPr="000767AE">
        <w:rPr>
          <w:rFonts w:ascii="Arial" w:hAnsi="Arial" w:cs="Arial"/>
          <w:sz w:val="24"/>
          <w:szCs w:val="24"/>
          <w:lang w:val="en-US"/>
        </w:rPr>
        <w:t xml:space="preserve"> or the Norwegian Ministry of Health and Care Services</w:t>
      </w:r>
      <w:r w:rsidRPr="000767AE">
        <w:rPr>
          <w:rFonts w:ascii="Arial" w:hAnsi="Arial" w:cs="Arial"/>
          <w:sz w:val="24"/>
          <w:szCs w:val="24"/>
          <w:lang w:val="en-US"/>
        </w:rPr>
        <w:t>.</w:t>
      </w:r>
    </w:p>
    <w:p w14:paraId="0100E8CE" w14:textId="77777777" w:rsidR="0038640F" w:rsidRPr="000767AE" w:rsidRDefault="0038640F" w:rsidP="00984997">
      <w:pPr>
        <w:contextualSpacing/>
        <w:rPr>
          <w:rFonts w:ascii="Arial" w:hAnsi="Arial" w:cs="Arial"/>
          <w:sz w:val="24"/>
          <w:szCs w:val="24"/>
          <w:lang w:val="en-US"/>
        </w:rPr>
      </w:pPr>
    </w:p>
    <w:p w14:paraId="300B9888" w14:textId="7A8BF3E8" w:rsidR="0038640F" w:rsidRPr="000767AE" w:rsidRDefault="0038640F" w:rsidP="0038640F">
      <w:pPr>
        <w:pStyle w:val="Heading2"/>
        <w:spacing w:before="0"/>
        <w:rPr>
          <w:rFonts w:ascii="Arial" w:hAnsi="Arial"/>
          <w:b/>
          <w:sz w:val="24"/>
        </w:rPr>
      </w:pPr>
      <w:r w:rsidRPr="000767AE">
        <w:rPr>
          <w:rFonts w:ascii="Arial" w:hAnsi="Arial"/>
          <w:b/>
          <w:sz w:val="24"/>
        </w:rPr>
        <w:t>Contributions</w:t>
      </w:r>
    </w:p>
    <w:p w14:paraId="75EE2950" w14:textId="3A592BD1" w:rsidR="00A13B78" w:rsidRPr="000767AE" w:rsidRDefault="0038640F" w:rsidP="00984997">
      <w:pPr>
        <w:contextualSpacing/>
        <w:rPr>
          <w:rFonts w:ascii="Arial" w:hAnsi="Arial" w:cs="Arial"/>
          <w:sz w:val="24"/>
          <w:szCs w:val="24"/>
          <w:lang w:val="en-US"/>
        </w:rPr>
      </w:pPr>
      <w:r w:rsidRPr="000767AE">
        <w:rPr>
          <w:rFonts w:ascii="Arial" w:hAnsi="Arial" w:cs="Arial"/>
          <w:sz w:val="24"/>
          <w:szCs w:val="24"/>
          <w:lang w:val="en-US"/>
        </w:rPr>
        <w:t>All authors contributed to the literature search, interpretation of published information, writing, and contribution to figure content for their respective areas of expertise. AHH and LSPM edited, structured and coordinated the complete manuscript and the figures and panels. All authors reviewed and approved the final version of the manuscript.</w:t>
      </w:r>
      <w:r w:rsidR="00A13B78" w:rsidRPr="000767AE">
        <w:rPr>
          <w:rFonts w:ascii="Arial" w:hAnsi="Arial" w:cs="Arial"/>
          <w:sz w:val="24"/>
          <w:szCs w:val="24"/>
          <w:lang w:val="en-US"/>
        </w:rPr>
        <w:br w:type="page"/>
      </w:r>
    </w:p>
    <w:p w14:paraId="4CB3D7C6" w14:textId="77777777" w:rsidR="00A13B78" w:rsidRPr="000767AE" w:rsidRDefault="00A13B78" w:rsidP="00194288">
      <w:pPr>
        <w:pStyle w:val="Heading2"/>
        <w:spacing w:before="0"/>
        <w:rPr>
          <w:rFonts w:ascii="Arial" w:hAnsi="Arial"/>
          <w:b/>
          <w:sz w:val="24"/>
        </w:rPr>
      </w:pPr>
      <w:r w:rsidRPr="000767AE">
        <w:rPr>
          <w:rFonts w:ascii="Arial" w:hAnsi="Arial"/>
          <w:b/>
          <w:sz w:val="24"/>
        </w:rPr>
        <w:lastRenderedPageBreak/>
        <w:t>References:</w:t>
      </w:r>
    </w:p>
    <w:p w14:paraId="2597D776" w14:textId="29725C5B" w:rsidR="009E0BAE" w:rsidRPr="009E0BAE" w:rsidRDefault="00A053CE">
      <w:pPr>
        <w:pStyle w:val="NormalWeb"/>
        <w:ind w:left="640" w:hanging="640"/>
        <w:divId w:val="1648047216"/>
        <w:rPr>
          <w:rFonts w:ascii="Arial" w:eastAsiaTheme="minorEastAsia" w:hAnsi="Arial" w:cs="Arial"/>
          <w:noProof/>
          <w:sz w:val="22"/>
        </w:rPr>
      </w:pPr>
      <w:r w:rsidRPr="000767AE">
        <w:rPr>
          <w:rFonts w:ascii="Arial" w:hAnsi="Arial" w:cs="Arial"/>
        </w:rPr>
        <w:fldChar w:fldCharType="begin" w:fldLock="1"/>
      </w:r>
      <w:r w:rsidRPr="000767AE">
        <w:rPr>
          <w:rFonts w:ascii="Arial" w:hAnsi="Arial" w:cs="Arial"/>
        </w:rPr>
        <w:instrText xml:space="preserve">ADDIN Mendeley Bibliography CSL_BIBLIOGRAPHY </w:instrText>
      </w:r>
      <w:r w:rsidRPr="000767AE">
        <w:rPr>
          <w:rFonts w:ascii="Arial" w:hAnsi="Arial" w:cs="Arial"/>
        </w:rPr>
        <w:fldChar w:fldCharType="separate"/>
      </w:r>
      <w:r w:rsidR="009E0BAE" w:rsidRPr="009E0BAE">
        <w:rPr>
          <w:rFonts w:ascii="Arial" w:hAnsi="Arial" w:cs="Arial"/>
          <w:noProof/>
          <w:sz w:val="22"/>
        </w:rPr>
        <w:t>1</w:t>
      </w:r>
      <w:r w:rsidR="009E0BAE" w:rsidRPr="009E0BAE">
        <w:rPr>
          <w:rFonts w:ascii="Arial" w:hAnsi="Arial" w:cs="Arial"/>
          <w:noProof/>
          <w:sz w:val="22"/>
        </w:rPr>
        <w:tab/>
        <w:t xml:space="preserve">Laxminarayan R, Matsoso P, Klugman KP, </w:t>
      </w:r>
      <w:r w:rsidR="009E0BAE" w:rsidRPr="009E0BAE">
        <w:rPr>
          <w:rFonts w:ascii="Arial" w:hAnsi="Arial" w:cs="Arial"/>
          <w:i/>
          <w:iCs/>
          <w:noProof/>
          <w:sz w:val="22"/>
        </w:rPr>
        <w:t>et al.</w:t>
      </w:r>
      <w:r w:rsidR="009E0BAE" w:rsidRPr="009E0BAE">
        <w:rPr>
          <w:rFonts w:ascii="Arial" w:hAnsi="Arial" w:cs="Arial"/>
          <w:noProof/>
          <w:sz w:val="22"/>
        </w:rPr>
        <w:t xml:space="preserve"> Access to Effective Antimicrobials: Securing human and animal health. </w:t>
      </w:r>
      <w:r w:rsidR="009E0BAE" w:rsidRPr="009E0BAE">
        <w:rPr>
          <w:rFonts w:ascii="Arial" w:hAnsi="Arial" w:cs="Arial"/>
          <w:i/>
          <w:iCs/>
          <w:noProof/>
          <w:sz w:val="22"/>
        </w:rPr>
        <w:t>Lancet</w:t>
      </w:r>
      <w:r w:rsidR="009E0BAE" w:rsidRPr="009E0BAE">
        <w:rPr>
          <w:rFonts w:ascii="Arial" w:hAnsi="Arial" w:cs="Arial"/>
          <w:noProof/>
          <w:sz w:val="22"/>
        </w:rPr>
        <w:t xml:space="preserve"> 2015; : [under review].</w:t>
      </w:r>
    </w:p>
    <w:p w14:paraId="4D319060"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2</w:t>
      </w:r>
      <w:r w:rsidRPr="009E0BAE">
        <w:rPr>
          <w:rFonts w:ascii="Arial" w:hAnsi="Arial" w:cs="Arial"/>
          <w:noProof/>
          <w:sz w:val="22"/>
        </w:rPr>
        <w:tab/>
        <w:t xml:space="preserve">Mendelson M, Balasegaram M, Gopinathan U, </w:t>
      </w:r>
      <w:r w:rsidRPr="009E0BAE">
        <w:rPr>
          <w:rFonts w:ascii="Arial" w:hAnsi="Arial" w:cs="Arial"/>
          <w:i/>
          <w:iCs/>
          <w:noProof/>
          <w:sz w:val="22"/>
        </w:rPr>
        <w:t>et al.</w:t>
      </w:r>
      <w:r w:rsidRPr="009E0BAE">
        <w:rPr>
          <w:rFonts w:ascii="Arial" w:hAnsi="Arial" w:cs="Arial"/>
          <w:noProof/>
          <w:sz w:val="22"/>
        </w:rPr>
        <w:t xml:space="preserve"> Maximising access whilst curbing excess: achieving appropriate human antimicrobial use in low and middle income countries. </w:t>
      </w:r>
      <w:r w:rsidRPr="009E0BAE">
        <w:rPr>
          <w:rFonts w:ascii="Arial" w:hAnsi="Arial" w:cs="Arial"/>
          <w:i/>
          <w:iCs/>
          <w:noProof/>
          <w:sz w:val="22"/>
        </w:rPr>
        <w:t>Lancet</w:t>
      </w:r>
      <w:r w:rsidRPr="009E0BAE">
        <w:rPr>
          <w:rFonts w:ascii="Arial" w:hAnsi="Arial" w:cs="Arial"/>
          <w:noProof/>
          <w:sz w:val="22"/>
        </w:rPr>
        <w:t xml:space="preserve"> 2015; : [under review].</w:t>
      </w:r>
    </w:p>
    <w:p w14:paraId="017C89CC"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3</w:t>
      </w:r>
      <w:r w:rsidRPr="009E0BAE">
        <w:rPr>
          <w:rFonts w:ascii="Arial" w:hAnsi="Arial" w:cs="Arial"/>
          <w:noProof/>
          <w:sz w:val="22"/>
        </w:rPr>
        <w:tab/>
        <w:t xml:space="preserve">Dar O, Hasan R, Schlndt Jo, </w:t>
      </w:r>
      <w:r w:rsidRPr="009E0BAE">
        <w:rPr>
          <w:rFonts w:ascii="Arial" w:hAnsi="Arial" w:cs="Arial"/>
          <w:i/>
          <w:iCs/>
          <w:noProof/>
          <w:sz w:val="22"/>
        </w:rPr>
        <w:t>et al.</w:t>
      </w:r>
      <w:r w:rsidRPr="009E0BAE">
        <w:rPr>
          <w:rFonts w:ascii="Arial" w:hAnsi="Arial" w:cs="Arial"/>
          <w:noProof/>
          <w:sz w:val="22"/>
        </w:rPr>
        <w:t xml:space="preserve"> Effective antimicrobials in an era of growing resistance: exploring the evidence base for policy interventions. </w:t>
      </w:r>
      <w:r w:rsidRPr="009E0BAE">
        <w:rPr>
          <w:rFonts w:ascii="Arial" w:hAnsi="Arial" w:cs="Arial"/>
          <w:i/>
          <w:iCs/>
          <w:noProof/>
          <w:sz w:val="22"/>
        </w:rPr>
        <w:t>Lancet</w:t>
      </w:r>
      <w:r w:rsidRPr="009E0BAE">
        <w:rPr>
          <w:rFonts w:ascii="Arial" w:hAnsi="Arial" w:cs="Arial"/>
          <w:noProof/>
          <w:sz w:val="22"/>
        </w:rPr>
        <w:t xml:space="preserve"> 2015; : [under review].</w:t>
      </w:r>
    </w:p>
    <w:p w14:paraId="21BEFF33"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4</w:t>
      </w:r>
      <w:r w:rsidRPr="009E0BAE">
        <w:rPr>
          <w:rFonts w:ascii="Arial" w:hAnsi="Arial" w:cs="Arial"/>
          <w:noProof/>
          <w:sz w:val="22"/>
        </w:rPr>
        <w:tab/>
        <w:t xml:space="preserve">Ardal C, Outerson K, Hoffman SJ, </w:t>
      </w:r>
      <w:r w:rsidRPr="009E0BAE">
        <w:rPr>
          <w:rFonts w:ascii="Arial" w:hAnsi="Arial" w:cs="Arial"/>
          <w:i/>
          <w:iCs/>
          <w:noProof/>
          <w:sz w:val="22"/>
        </w:rPr>
        <w:t>et al.</w:t>
      </w:r>
      <w:r w:rsidRPr="009E0BAE">
        <w:rPr>
          <w:rFonts w:ascii="Arial" w:hAnsi="Arial" w:cs="Arial"/>
          <w:noProof/>
          <w:sz w:val="22"/>
        </w:rPr>
        <w:t xml:space="preserve"> Effective international collaboration to improve access to and sustain effectiveness of antimicrobials. </w:t>
      </w:r>
      <w:r w:rsidRPr="009E0BAE">
        <w:rPr>
          <w:rFonts w:ascii="Arial" w:hAnsi="Arial" w:cs="Arial"/>
          <w:i/>
          <w:iCs/>
          <w:noProof/>
          <w:sz w:val="22"/>
        </w:rPr>
        <w:t>Lancet</w:t>
      </w:r>
      <w:r w:rsidRPr="009E0BAE">
        <w:rPr>
          <w:rFonts w:ascii="Arial" w:hAnsi="Arial" w:cs="Arial"/>
          <w:noProof/>
          <w:sz w:val="22"/>
        </w:rPr>
        <w:t xml:space="preserve"> 2015; : [under review].</w:t>
      </w:r>
    </w:p>
    <w:p w14:paraId="375101D3"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5</w:t>
      </w:r>
      <w:r w:rsidRPr="009E0BAE">
        <w:rPr>
          <w:rFonts w:ascii="Arial" w:hAnsi="Arial" w:cs="Arial"/>
          <w:noProof/>
          <w:sz w:val="22"/>
        </w:rPr>
        <w:tab/>
        <w:t xml:space="preserve">Forsberg KJ, Patel S, Gibson MK, </w:t>
      </w:r>
      <w:r w:rsidRPr="009E0BAE">
        <w:rPr>
          <w:rFonts w:ascii="Arial" w:hAnsi="Arial" w:cs="Arial"/>
          <w:i/>
          <w:iCs/>
          <w:noProof/>
          <w:sz w:val="22"/>
        </w:rPr>
        <w:t>et al.</w:t>
      </w:r>
      <w:r w:rsidRPr="009E0BAE">
        <w:rPr>
          <w:rFonts w:ascii="Arial" w:hAnsi="Arial" w:cs="Arial"/>
          <w:noProof/>
          <w:sz w:val="22"/>
        </w:rPr>
        <w:t xml:space="preserve"> Bacterial phylogeny structures soil resistomes across habitats. </w:t>
      </w:r>
      <w:r w:rsidRPr="009E0BAE">
        <w:rPr>
          <w:rFonts w:ascii="Arial" w:hAnsi="Arial" w:cs="Arial"/>
          <w:i/>
          <w:iCs/>
          <w:noProof/>
          <w:sz w:val="22"/>
        </w:rPr>
        <w:t>Nature</w:t>
      </w:r>
      <w:r w:rsidRPr="009E0BAE">
        <w:rPr>
          <w:rFonts w:ascii="Arial" w:hAnsi="Arial" w:cs="Arial"/>
          <w:noProof/>
          <w:sz w:val="22"/>
        </w:rPr>
        <w:t xml:space="preserve"> 2014; </w:t>
      </w:r>
      <w:r w:rsidRPr="009E0BAE">
        <w:rPr>
          <w:rFonts w:ascii="Arial" w:hAnsi="Arial" w:cs="Arial"/>
          <w:b/>
          <w:bCs/>
          <w:noProof/>
          <w:sz w:val="22"/>
        </w:rPr>
        <w:t>509</w:t>
      </w:r>
      <w:r w:rsidRPr="009E0BAE">
        <w:rPr>
          <w:rFonts w:ascii="Arial" w:hAnsi="Arial" w:cs="Arial"/>
          <w:noProof/>
          <w:sz w:val="22"/>
        </w:rPr>
        <w:t>: 612–6.</w:t>
      </w:r>
    </w:p>
    <w:p w14:paraId="39BFC6C5"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6</w:t>
      </w:r>
      <w:r w:rsidRPr="009E0BAE">
        <w:rPr>
          <w:rFonts w:ascii="Arial" w:hAnsi="Arial" w:cs="Arial"/>
          <w:noProof/>
          <w:sz w:val="22"/>
        </w:rPr>
        <w:tab/>
        <w:t xml:space="preserve">Aminov RI. The role of antibiotics and antibiotic resistance in nature. </w:t>
      </w:r>
      <w:r w:rsidRPr="009E0BAE">
        <w:rPr>
          <w:rFonts w:ascii="Arial" w:hAnsi="Arial" w:cs="Arial"/>
          <w:i/>
          <w:iCs/>
          <w:noProof/>
          <w:sz w:val="22"/>
        </w:rPr>
        <w:t>Environ Microbiol</w:t>
      </w:r>
      <w:r w:rsidRPr="009E0BAE">
        <w:rPr>
          <w:rFonts w:ascii="Arial" w:hAnsi="Arial" w:cs="Arial"/>
          <w:noProof/>
          <w:sz w:val="22"/>
        </w:rPr>
        <w:t xml:space="preserve"> 2009; </w:t>
      </w:r>
      <w:r w:rsidRPr="009E0BAE">
        <w:rPr>
          <w:rFonts w:ascii="Arial" w:hAnsi="Arial" w:cs="Arial"/>
          <w:b/>
          <w:bCs/>
          <w:noProof/>
          <w:sz w:val="22"/>
        </w:rPr>
        <w:t>11</w:t>
      </w:r>
      <w:r w:rsidRPr="009E0BAE">
        <w:rPr>
          <w:rFonts w:ascii="Arial" w:hAnsi="Arial" w:cs="Arial"/>
          <w:noProof/>
          <w:sz w:val="22"/>
        </w:rPr>
        <w:t>: 2970–88.</w:t>
      </w:r>
    </w:p>
    <w:p w14:paraId="0D393DE6"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7</w:t>
      </w:r>
      <w:r w:rsidRPr="009E0BAE">
        <w:rPr>
          <w:rFonts w:ascii="Arial" w:hAnsi="Arial" w:cs="Arial"/>
          <w:noProof/>
          <w:sz w:val="22"/>
        </w:rPr>
        <w:tab/>
        <w:t xml:space="preserve">Martinez JL. The role of natural environments in the evolution of resistance traits in pathogenic bacteria. </w:t>
      </w:r>
      <w:r w:rsidRPr="009E0BAE">
        <w:rPr>
          <w:rFonts w:ascii="Arial" w:hAnsi="Arial" w:cs="Arial"/>
          <w:i/>
          <w:iCs/>
          <w:noProof/>
          <w:sz w:val="22"/>
        </w:rPr>
        <w:t>Proceeding R Soc Biol Sci</w:t>
      </w:r>
      <w:r w:rsidRPr="009E0BAE">
        <w:rPr>
          <w:rFonts w:ascii="Arial" w:hAnsi="Arial" w:cs="Arial"/>
          <w:noProof/>
          <w:sz w:val="22"/>
        </w:rPr>
        <w:t xml:space="preserve"> 2009; </w:t>
      </w:r>
      <w:r w:rsidRPr="009E0BAE">
        <w:rPr>
          <w:rFonts w:ascii="Arial" w:hAnsi="Arial" w:cs="Arial"/>
          <w:b/>
          <w:bCs/>
          <w:noProof/>
          <w:sz w:val="22"/>
        </w:rPr>
        <w:t>276</w:t>
      </w:r>
      <w:r w:rsidRPr="009E0BAE">
        <w:rPr>
          <w:rFonts w:ascii="Arial" w:hAnsi="Arial" w:cs="Arial"/>
          <w:noProof/>
          <w:sz w:val="22"/>
        </w:rPr>
        <w:t>: 2521–30.</w:t>
      </w:r>
    </w:p>
    <w:p w14:paraId="68085B39"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8</w:t>
      </w:r>
      <w:r w:rsidRPr="009E0BAE">
        <w:rPr>
          <w:rFonts w:ascii="Arial" w:hAnsi="Arial" w:cs="Arial"/>
          <w:noProof/>
          <w:sz w:val="22"/>
        </w:rPr>
        <w:tab/>
        <w:t xml:space="preserve">Andersson DI, Hughes D. Microbiological effects of sublethal levels of antibiotics. </w:t>
      </w:r>
      <w:r w:rsidRPr="009E0BAE">
        <w:rPr>
          <w:rFonts w:ascii="Arial" w:hAnsi="Arial" w:cs="Arial"/>
          <w:i/>
          <w:iCs/>
          <w:noProof/>
          <w:sz w:val="22"/>
        </w:rPr>
        <w:t>Nat Rev Microbiol</w:t>
      </w:r>
      <w:r w:rsidRPr="009E0BAE">
        <w:rPr>
          <w:rFonts w:ascii="Arial" w:hAnsi="Arial" w:cs="Arial"/>
          <w:noProof/>
          <w:sz w:val="22"/>
        </w:rPr>
        <w:t xml:space="preserve"> 2014; </w:t>
      </w:r>
      <w:r w:rsidRPr="009E0BAE">
        <w:rPr>
          <w:rFonts w:ascii="Arial" w:hAnsi="Arial" w:cs="Arial"/>
          <w:b/>
          <w:bCs/>
          <w:noProof/>
          <w:sz w:val="22"/>
        </w:rPr>
        <w:t>12</w:t>
      </w:r>
      <w:r w:rsidRPr="009E0BAE">
        <w:rPr>
          <w:rFonts w:ascii="Arial" w:hAnsi="Arial" w:cs="Arial"/>
          <w:noProof/>
          <w:sz w:val="22"/>
        </w:rPr>
        <w:t>: 465–78.</w:t>
      </w:r>
    </w:p>
    <w:p w14:paraId="23A07C2A"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9</w:t>
      </w:r>
      <w:r w:rsidRPr="009E0BAE">
        <w:rPr>
          <w:rFonts w:ascii="Arial" w:hAnsi="Arial" w:cs="Arial"/>
          <w:noProof/>
          <w:sz w:val="22"/>
        </w:rPr>
        <w:tab/>
        <w:t xml:space="preserve">Morita Y, Tomida J, Kawamura Y. Responses of Pseudomonas aeruginosa to antimicrobials. </w:t>
      </w:r>
      <w:r w:rsidRPr="009E0BAE">
        <w:rPr>
          <w:rFonts w:ascii="Arial" w:hAnsi="Arial" w:cs="Arial"/>
          <w:i/>
          <w:iCs/>
          <w:noProof/>
          <w:sz w:val="22"/>
        </w:rPr>
        <w:t>Front Microbiol</w:t>
      </w:r>
      <w:r w:rsidRPr="009E0BAE">
        <w:rPr>
          <w:rFonts w:ascii="Arial" w:hAnsi="Arial" w:cs="Arial"/>
          <w:noProof/>
          <w:sz w:val="22"/>
        </w:rPr>
        <w:t xml:space="preserve"> 2014; </w:t>
      </w:r>
      <w:r w:rsidRPr="009E0BAE">
        <w:rPr>
          <w:rFonts w:ascii="Arial" w:hAnsi="Arial" w:cs="Arial"/>
          <w:b/>
          <w:bCs/>
          <w:noProof/>
          <w:sz w:val="22"/>
        </w:rPr>
        <w:t>4</w:t>
      </w:r>
      <w:r w:rsidRPr="009E0BAE">
        <w:rPr>
          <w:rFonts w:ascii="Arial" w:hAnsi="Arial" w:cs="Arial"/>
          <w:noProof/>
          <w:sz w:val="22"/>
        </w:rPr>
        <w:t>: 422.</w:t>
      </w:r>
    </w:p>
    <w:p w14:paraId="5EC824A8"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10</w:t>
      </w:r>
      <w:r w:rsidRPr="009E0BAE">
        <w:rPr>
          <w:rFonts w:ascii="Arial" w:hAnsi="Arial" w:cs="Arial"/>
          <w:noProof/>
          <w:sz w:val="22"/>
        </w:rPr>
        <w:tab/>
        <w:t>European Centre for Disease Prevention and Control. Antimicrobial resistance surveillance in Europe 2012. Annual report o the European Antimicrobial Resistance Surveillance Network (EARS-Net). Stockholm, 2013.</w:t>
      </w:r>
    </w:p>
    <w:p w14:paraId="3F333339"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11</w:t>
      </w:r>
      <w:r w:rsidRPr="009E0BAE">
        <w:rPr>
          <w:rFonts w:ascii="Arial" w:hAnsi="Arial" w:cs="Arial"/>
          <w:noProof/>
          <w:sz w:val="22"/>
        </w:rPr>
        <w:tab/>
        <w:t xml:space="preserve">Redgrave LS, Sutton SB, Webber MA, Piddock LJ V. Fluoroquinolone resistance: mechanisms, impact on bacteria, and role in evolutionary success. </w:t>
      </w:r>
      <w:r w:rsidRPr="009E0BAE">
        <w:rPr>
          <w:rFonts w:ascii="Arial" w:hAnsi="Arial" w:cs="Arial"/>
          <w:i/>
          <w:iCs/>
          <w:noProof/>
          <w:sz w:val="22"/>
        </w:rPr>
        <w:t>Trends Microbiol</w:t>
      </w:r>
      <w:r w:rsidRPr="009E0BAE">
        <w:rPr>
          <w:rFonts w:ascii="Arial" w:hAnsi="Arial" w:cs="Arial"/>
          <w:noProof/>
          <w:sz w:val="22"/>
        </w:rPr>
        <w:t xml:space="preserve"> 2014; </w:t>
      </w:r>
      <w:r w:rsidRPr="009E0BAE">
        <w:rPr>
          <w:rFonts w:ascii="Arial" w:hAnsi="Arial" w:cs="Arial"/>
          <w:b/>
          <w:bCs/>
          <w:noProof/>
          <w:sz w:val="22"/>
        </w:rPr>
        <w:t>22</w:t>
      </w:r>
      <w:r w:rsidRPr="009E0BAE">
        <w:rPr>
          <w:rFonts w:ascii="Arial" w:hAnsi="Arial" w:cs="Arial"/>
          <w:noProof/>
          <w:sz w:val="22"/>
        </w:rPr>
        <w:t>: 438–45.</w:t>
      </w:r>
    </w:p>
    <w:p w14:paraId="2A40E4A8"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12</w:t>
      </w:r>
      <w:r w:rsidRPr="009E0BAE">
        <w:rPr>
          <w:rFonts w:ascii="Arial" w:hAnsi="Arial" w:cs="Arial"/>
          <w:noProof/>
          <w:sz w:val="22"/>
        </w:rPr>
        <w:tab/>
        <w:t xml:space="preserve">Bell BG, Schellevis F, Stobberingh E, Goossens H, Pringle M. A systematic review and meta-analysis of the effects of antibiotic consumption on antibiotic resistance. </w:t>
      </w:r>
      <w:r w:rsidRPr="009E0BAE">
        <w:rPr>
          <w:rFonts w:ascii="Arial" w:hAnsi="Arial" w:cs="Arial"/>
          <w:i/>
          <w:iCs/>
          <w:noProof/>
          <w:sz w:val="22"/>
        </w:rPr>
        <w:t>BMC Infect Dis</w:t>
      </w:r>
      <w:r w:rsidRPr="009E0BAE">
        <w:rPr>
          <w:rFonts w:ascii="Arial" w:hAnsi="Arial" w:cs="Arial"/>
          <w:noProof/>
          <w:sz w:val="22"/>
        </w:rPr>
        <w:t xml:space="preserve"> 2014; </w:t>
      </w:r>
      <w:r w:rsidRPr="009E0BAE">
        <w:rPr>
          <w:rFonts w:ascii="Arial" w:hAnsi="Arial" w:cs="Arial"/>
          <w:b/>
          <w:bCs/>
          <w:noProof/>
          <w:sz w:val="22"/>
        </w:rPr>
        <w:t>14</w:t>
      </w:r>
      <w:r w:rsidRPr="009E0BAE">
        <w:rPr>
          <w:rFonts w:ascii="Arial" w:hAnsi="Arial" w:cs="Arial"/>
          <w:noProof/>
          <w:sz w:val="22"/>
        </w:rPr>
        <w:t>: 13.</w:t>
      </w:r>
    </w:p>
    <w:p w14:paraId="1690B76F"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13</w:t>
      </w:r>
      <w:r w:rsidRPr="009E0BAE">
        <w:rPr>
          <w:rFonts w:ascii="Arial" w:hAnsi="Arial" w:cs="Arial"/>
          <w:noProof/>
          <w:sz w:val="22"/>
        </w:rPr>
        <w:tab/>
        <w:t xml:space="preserve">Landers TF, Cohen B, Wittum TE, Larson EL. A review of antibiotic use in food animals: perspective, policy, and potential. </w:t>
      </w:r>
      <w:r w:rsidRPr="009E0BAE">
        <w:rPr>
          <w:rFonts w:ascii="Arial" w:hAnsi="Arial" w:cs="Arial"/>
          <w:i/>
          <w:iCs/>
          <w:noProof/>
          <w:sz w:val="22"/>
        </w:rPr>
        <w:t>Public Health Rep</w:t>
      </w:r>
      <w:r w:rsidRPr="009E0BAE">
        <w:rPr>
          <w:rFonts w:ascii="Arial" w:hAnsi="Arial" w:cs="Arial"/>
          <w:noProof/>
          <w:sz w:val="22"/>
        </w:rPr>
        <w:t xml:space="preserve"> 2012; </w:t>
      </w:r>
      <w:r w:rsidRPr="009E0BAE">
        <w:rPr>
          <w:rFonts w:ascii="Arial" w:hAnsi="Arial" w:cs="Arial"/>
          <w:b/>
          <w:bCs/>
          <w:noProof/>
          <w:sz w:val="22"/>
        </w:rPr>
        <w:t>127</w:t>
      </w:r>
      <w:r w:rsidRPr="009E0BAE">
        <w:rPr>
          <w:rFonts w:ascii="Arial" w:hAnsi="Arial" w:cs="Arial"/>
          <w:noProof/>
          <w:sz w:val="22"/>
        </w:rPr>
        <w:t>: 4–22.</w:t>
      </w:r>
    </w:p>
    <w:p w14:paraId="48D9CBDB"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14</w:t>
      </w:r>
      <w:r w:rsidRPr="009E0BAE">
        <w:rPr>
          <w:rFonts w:ascii="Arial" w:hAnsi="Arial" w:cs="Arial"/>
          <w:noProof/>
          <w:sz w:val="22"/>
        </w:rPr>
        <w:tab/>
        <w:t xml:space="preserve">Kothari C, Gaind R, Singh LC, </w:t>
      </w:r>
      <w:r w:rsidRPr="009E0BAE">
        <w:rPr>
          <w:rFonts w:ascii="Arial" w:hAnsi="Arial" w:cs="Arial"/>
          <w:i/>
          <w:iCs/>
          <w:noProof/>
          <w:sz w:val="22"/>
        </w:rPr>
        <w:t>et al.</w:t>
      </w:r>
      <w:r w:rsidRPr="009E0BAE">
        <w:rPr>
          <w:rFonts w:ascii="Arial" w:hAnsi="Arial" w:cs="Arial"/>
          <w:noProof/>
          <w:sz w:val="22"/>
        </w:rPr>
        <w:t xml:space="preserve"> Community acquisition of β-lactamase producing Enterobacteriaceae in neonatal gut. </w:t>
      </w:r>
      <w:r w:rsidRPr="009E0BAE">
        <w:rPr>
          <w:rFonts w:ascii="Arial" w:hAnsi="Arial" w:cs="Arial"/>
          <w:i/>
          <w:iCs/>
          <w:noProof/>
          <w:sz w:val="22"/>
        </w:rPr>
        <w:t>BMC Microbiol</w:t>
      </w:r>
      <w:r w:rsidRPr="009E0BAE">
        <w:rPr>
          <w:rFonts w:ascii="Arial" w:hAnsi="Arial" w:cs="Arial"/>
          <w:noProof/>
          <w:sz w:val="22"/>
        </w:rPr>
        <w:t xml:space="preserve"> 2013; </w:t>
      </w:r>
      <w:r w:rsidRPr="009E0BAE">
        <w:rPr>
          <w:rFonts w:ascii="Arial" w:hAnsi="Arial" w:cs="Arial"/>
          <w:b/>
          <w:bCs/>
          <w:noProof/>
          <w:sz w:val="22"/>
        </w:rPr>
        <w:t>13</w:t>
      </w:r>
      <w:r w:rsidRPr="009E0BAE">
        <w:rPr>
          <w:rFonts w:ascii="Arial" w:hAnsi="Arial" w:cs="Arial"/>
          <w:noProof/>
          <w:sz w:val="22"/>
        </w:rPr>
        <w:t>: 136.</w:t>
      </w:r>
    </w:p>
    <w:p w14:paraId="666E62AE"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15</w:t>
      </w:r>
      <w:r w:rsidRPr="009E0BAE">
        <w:rPr>
          <w:rFonts w:ascii="Arial" w:hAnsi="Arial" w:cs="Arial"/>
          <w:noProof/>
          <w:sz w:val="22"/>
        </w:rPr>
        <w:tab/>
        <w:t xml:space="preserve">Walsh TR, Weeks J, Livermore DM, Toleman MA. Dissemination of NDM-1 positive bacteria in the New Delhi environment and its implications for human health: an environmental point prevalence study. </w:t>
      </w:r>
      <w:r w:rsidRPr="009E0BAE">
        <w:rPr>
          <w:rFonts w:ascii="Arial" w:hAnsi="Arial" w:cs="Arial"/>
          <w:i/>
          <w:iCs/>
          <w:noProof/>
          <w:sz w:val="22"/>
        </w:rPr>
        <w:t>Lancet Infect Dis</w:t>
      </w:r>
      <w:r w:rsidRPr="009E0BAE">
        <w:rPr>
          <w:rFonts w:ascii="Arial" w:hAnsi="Arial" w:cs="Arial"/>
          <w:noProof/>
          <w:sz w:val="22"/>
        </w:rPr>
        <w:t xml:space="preserve"> 2011; </w:t>
      </w:r>
      <w:r w:rsidRPr="009E0BAE">
        <w:rPr>
          <w:rFonts w:ascii="Arial" w:hAnsi="Arial" w:cs="Arial"/>
          <w:b/>
          <w:bCs/>
          <w:noProof/>
          <w:sz w:val="22"/>
        </w:rPr>
        <w:t>11</w:t>
      </w:r>
      <w:r w:rsidRPr="009E0BAE">
        <w:rPr>
          <w:rFonts w:ascii="Arial" w:hAnsi="Arial" w:cs="Arial"/>
          <w:noProof/>
          <w:sz w:val="22"/>
        </w:rPr>
        <w:t>: 355–62.</w:t>
      </w:r>
    </w:p>
    <w:p w14:paraId="33CC8A0C"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16</w:t>
      </w:r>
      <w:r w:rsidRPr="009E0BAE">
        <w:rPr>
          <w:rFonts w:ascii="Arial" w:hAnsi="Arial" w:cs="Arial"/>
          <w:noProof/>
          <w:sz w:val="22"/>
        </w:rPr>
        <w:tab/>
        <w:t xml:space="preserve">Rubin JE, Ekanayake S, Fernando C. Carbapenemase-producing Organism in Food, 2014. </w:t>
      </w:r>
      <w:r w:rsidRPr="009E0BAE">
        <w:rPr>
          <w:rFonts w:ascii="Arial" w:hAnsi="Arial" w:cs="Arial"/>
          <w:i/>
          <w:iCs/>
          <w:noProof/>
          <w:sz w:val="22"/>
        </w:rPr>
        <w:t>Emerg Infect Dis</w:t>
      </w:r>
      <w:r w:rsidRPr="009E0BAE">
        <w:rPr>
          <w:rFonts w:ascii="Arial" w:hAnsi="Arial" w:cs="Arial"/>
          <w:noProof/>
          <w:sz w:val="22"/>
        </w:rPr>
        <w:t xml:space="preserve"> 2014; </w:t>
      </w:r>
      <w:r w:rsidRPr="009E0BAE">
        <w:rPr>
          <w:rFonts w:ascii="Arial" w:hAnsi="Arial" w:cs="Arial"/>
          <w:b/>
          <w:bCs/>
          <w:noProof/>
          <w:sz w:val="22"/>
        </w:rPr>
        <w:t>20</w:t>
      </w:r>
      <w:r w:rsidRPr="009E0BAE">
        <w:rPr>
          <w:rFonts w:ascii="Arial" w:hAnsi="Arial" w:cs="Arial"/>
          <w:noProof/>
          <w:sz w:val="22"/>
        </w:rPr>
        <w:t>: 1264–5.</w:t>
      </w:r>
    </w:p>
    <w:p w14:paraId="48D8CA39"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17</w:t>
      </w:r>
      <w:r w:rsidRPr="009E0BAE">
        <w:rPr>
          <w:rFonts w:ascii="Arial" w:hAnsi="Arial" w:cs="Arial"/>
          <w:noProof/>
          <w:sz w:val="22"/>
        </w:rPr>
        <w:tab/>
        <w:t xml:space="preserve">Martinez JL. Environmental pollution by antibiotics and by antibiotic resistance determinants. </w:t>
      </w:r>
      <w:r w:rsidRPr="009E0BAE">
        <w:rPr>
          <w:rFonts w:ascii="Arial" w:hAnsi="Arial" w:cs="Arial"/>
          <w:i/>
          <w:iCs/>
          <w:noProof/>
          <w:sz w:val="22"/>
        </w:rPr>
        <w:t>Environ Pollut</w:t>
      </w:r>
      <w:r w:rsidRPr="009E0BAE">
        <w:rPr>
          <w:rFonts w:ascii="Arial" w:hAnsi="Arial" w:cs="Arial"/>
          <w:noProof/>
          <w:sz w:val="22"/>
        </w:rPr>
        <w:t xml:space="preserve"> 2009; </w:t>
      </w:r>
      <w:r w:rsidRPr="009E0BAE">
        <w:rPr>
          <w:rFonts w:ascii="Arial" w:hAnsi="Arial" w:cs="Arial"/>
          <w:b/>
          <w:bCs/>
          <w:noProof/>
          <w:sz w:val="22"/>
        </w:rPr>
        <w:t>157</w:t>
      </w:r>
      <w:r w:rsidRPr="009E0BAE">
        <w:rPr>
          <w:rFonts w:ascii="Arial" w:hAnsi="Arial" w:cs="Arial"/>
          <w:noProof/>
          <w:sz w:val="22"/>
        </w:rPr>
        <w:t>: 2893–902.</w:t>
      </w:r>
    </w:p>
    <w:p w14:paraId="3FD2BAB5"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lastRenderedPageBreak/>
        <w:t>18</w:t>
      </w:r>
      <w:r w:rsidRPr="009E0BAE">
        <w:rPr>
          <w:rFonts w:ascii="Arial" w:hAnsi="Arial" w:cs="Arial"/>
          <w:noProof/>
          <w:sz w:val="22"/>
        </w:rPr>
        <w:tab/>
        <w:t xml:space="preserve">Elliott E, Brink AJ, van Greune J, </w:t>
      </w:r>
      <w:r w:rsidRPr="009E0BAE">
        <w:rPr>
          <w:rFonts w:ascii="Arial" w:hAnsi="Arial" w:cs="Arial"/>
          <w:i/>
          <w:iCs/>
          <w:noProof/>
          <w:sz w:val="22"/>
        </w:rPr>
        <w:t>et al.</w:t>
      </w:r>
      <w:r w:rsidRPr="009E0BAE">
        <w:rPr>
          <w:rFonts w:ascii="Arial" w:hAnsi="Arial" w:cs="Arial"/>
          <w:noProof/>
          <w:sz w:val="22"/>
        </w:rPr>
        <w:t xml:space="preserve"> In vivo development of ertapenem resistance in a patient with pneumonia caused by Klebsiella pneumoniae with an extended-spectrum beta-lactamase. </w:t>
      </w:r>
      <w:r w:rsidRPr="009E0BAE">
        <w:rPr>
          <w:rFonts w:ascii="Arial" w:hAnsi="Arial" w:cs="Arial"/>
          <w:i/>
          <w:iCs/>
          <w:noProof/>
          <w:sz w:val="22"/>
        </w:rPr>
        <w:t>Clin Infect Dis</w:t>
      </w:r>
      <w:r w:rsidRPr="009E0BAE">
        <w:rPr>
          <w:rFonts w:ascii="Arial" w:hAnsi="Arial" w:cs="Arial"/>
          <w:noProof/>
          <w:sz w:val="22"/>
        </w:rPr>
        <w:t xml:space="preserve"> 2006; </w:t>
      </w:r>
      <w:r w:rsidRPr="009E0BAE">
        <w:rPr>
          <w:rFonts w:ascii="Arial" w:hAnsi="Arial" w:cs="Arial"/>
          <w:b/>
          <w:bCs/>
          <w:noProof/>
          <w:sz w:val="22"/>
        </w:rPr>
        <w:t>42</w:t>
      </w:r>
      <w:r w:rsidRPr="009E0BAE">
        <w:rPr>
          <w:rFonts w:ascii="Arial" w:hAnsi="Arial" w:cs="Arial"/>
          <w:noProof/>
          <w:sz w:val="22"/>
        </w:rPr>
        <w:t>: e95–8.</w:t>
      </w:r>
    </w:p>
    <w:p w14:paraId="12518EF8"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19</w:t>
      </w:r>
      <w:r w:rsidRPr="009E0BAE">
        <w:rPr>
          <w:rFonts w:ascii="Arial" w:hAnsi="Arial" w:cs="Arial"/>
          <w:noProof/>
          <w:sz w:val="22"/>
        </w:rPr>
        <w:tab/>
        <w:t xml:space="preserve">Blázquez J, Oliver A, Gómez-Gómez J-M. Mutation and evolution of antibiotic resistance: antibiotics as promoters of antibiotic resistance? </w:t>
      </w:r>
      <w:r w:rsidRPr="009E0BAE">
        <w:rPr>
          <w:rFonts w:ascii="Arial" w:hAnsi="Arial" w:cs="Arial"/>
          <w:i/>
          <w:iCs/>
          <w:noProof/>
          <w:sz w:val="22"/>
        </w:rPr>
        <w:t>Curr Drug Targets</w:t>
      </w:r>
      <w:r w:rsidRPr="009E0BAE">
        <w:rPr>
          <w:rFonts w:ascii="Arial" w:hAnsi="Arial" w:cs="Arial"/>
          <w:noProof/>
          <w:sz w:val="22"/>
        </w:rPr>
        <w:t xml:space="preserve"> 2002; </w:t>
      </w:r>
      <w:r w:rsidRPr="009E0BAE">
        <w:rPr>
          <w:rFonts w:ascii="Arial" w:hAnsi="Arial" w:cs="Arial"/>
          <w:b/>
          <w:bCs/>
          <w:noProof/>
          <w:sz w:val="22"/>
        </w:rPr>
        <w:t>3</w:t>
      </w:r>
      <w:r w:rsidRPr="009E0BAE">
        <w:rPr>
          <w:rFonts w:ascii="Arial" w:hAnsi="Arial" w:cs="Arial"/>
          <w:noProof/>
          <w:sz w:val="22"/>
        </w:rPr>
        <w:t>: 345–9.</w:t>
      </w:r>
    </w:p>
    <w:p w14:paraId="5DE67212"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20</w:t>
      </w:r>
      <w:r w:rsidRPr="009E0BAE">
        <w:rPr>
          <w:rFonts w:ascii="Arial" w:hAnsi="Arial" w:cs="Arial"/>
          <w:noProof/>
          <w:sz w:val="22"/>
        </w:rPr>
        <w:tab/>
        <w:t>Centres for Disease Control and Prevention. Antibiotic resistance threats in the United States, 2013. Atlanta, 2013.</w:t>
      </w:r>
    </w:p>
    <w:p w14:paraId="6CB2FC4C"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21</w:t>
      </w:r>
      <w:r w:rsidRPr="009E0BAE">
        <w:rPr>
          <w:rFonts w:ascii="Arial" w:hAnsi="Arial" w:cs="Arial"/>
          <w:noProof/>
          <w:sz w:val="22"/>
        </w:rPr>
        <w:tab/>
        <w:t xml:space="preserve">Laxminarayan R, Duse A, Wattal C, </w:t>
      </w:r>
      <w:r w:rsidRPr="009E0BAE">
        <w:rPr>
          <w:rFonts w:ascii="Arial" w:hAnsi="Arial" w:cs="Arial"/>
          <w:i/>
          <w:iCs/>
          <w:noProof/>
          <w:sz w:val="22"/>
        </w:rPr>
        <w:t>et al.</w:t>
      </w:r>
      <w:r w:rsidRPr="009E0BAE">
        <w:rPr>
          <w:rFonts w:ascii="Arial" w:hAnsi="Arial" w:cs="Arial"/>
          <w:noProof/>
          <w:sz w:val="22"/>
        </w:rPr>
        <w:t xml:space="preserve"> Antibiotic resistance-the need for global solutions. </w:t>
      </w:r>
      <w:r w:rsidRPr="009E0BAE">
        <w:rPr>
          <w:rFonts w:ascii="Arial" w:hAnsi="Arial" w:cs="Arial"/>
          <w:i/>
          <w:iCs/>
          <w:noProof/>
          <w:sz w:val="22"/>
        </w:rPr>
        <w:t>Lancet Infect Dis</w:t>
      </w:r>
      <w:r w:rsidRPr="009E0BAE">
        <w:rPr>
          <w:rFonts w:ascii="Arial" w:hAnsi="Arial" w:cs="Arial"/>
          <w:noProof/>
          <w:sz w:val="22"/>
        </w:rPr>
        <w:t xml:space="preserve"> 2013; </w:t>
      </w:r>
      <w:r w:rsidRPr="009E0BAE">
        <w:rPr>
          <w:rFonts w:ascii="Arial" w:hAnsi="Arial" w:cs="Arial"/>
          <w:b/>
          <w:bCs/>
          <w:noProof/>
          <w:sz w:val="22"/>
        </w:rPr>
        <w:t>13</w:t>
      </w:r>
      <w:r w:rsidRPr="009E0BAE">
        <w:rPr>
          <w:rFonts w:ascii="Arial" w:hAnsi="Arial" w:cs="Arial"/>
          <w:noProof/>
          <w:sz w:val="22"/>
        </w:rPr>
        <w:t>: 1057–98.</w:t>
      </w:r>
    </w:p>
    <w:p w14:paraId="2985CEB2"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22</w:t>
      </w:r>
      <w:r w:rsidRPr="009E0BAE">
        <w:rPr>
          <w:rFonts w:ascii="Arial" w:hAnsi="Arial" w:cs="Arial"/>
          <w:noProof/>
          <w:sz w:val="22"/>
        </w:rPr>
        <w:tab/>
        <w:t>World Health Organization. The evolving threat of antimicrobial resistance: Options for action. Geneva, 2012.</w:t>
      </w:r>
    </w:p>
    <w:p w14:paraId="0D57497A"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23</w:t>
      </w:r>
      <w:r w:rsidRPr="009E0BAE">
        <w:rPr>
          <w:rFonts w:ascii="Arial" w:hAnsi="Arial" w:cs="Arial"/>
          <w:noProof/>
          <w:sz w:val="22"/>
        </w:rPr>
        <w:tab/>
        <w:t>European Centre for Disease Prevention and Control. Point prevalence survey of healthcare-associated infections and antimicrobial use in European acute care hospitals, 2011–2012. Stockholm, 2013.</w:t>
      </w:r>
    </w:p>
    <w:p w14:paraId="68AA7362"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24</w:t>
      </w:r>
      <w:r w:rsidRPr="009E0BAE">
        <w:rPr>
          <w:rFonts w:ascii="Arial" w:hAnsi="Arial" w:cs="Arial"/>
          <w:noProof/>
          <w:sz w:val="22"/>
        </w:rPr>
        <w:tab/>
        <w:t>European Centre for Disease Prevention and Control. Surveillance of antimicrobial consumption in Europe 2012. Stockholm, 2014 doi:10.2900/32937.</w:t>
      </w:r>
    </w:p>
    <w:p w14:paraId="6E195AEE"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25</w:t>
      </w:r>
      <w:r w:rsidRPr="009E0BAE">
        <w:rPr>
          <w:rFonts w:ascii="Arial" w:hAnsi="Arial" w:cs="Arial"/>
          <w:noProof/>
          <w:sz w:val="22"/>
        </w:rPr>
        <w:tab/>
        <w:t xml:space="preserve">Arnold S, Straus S. Interventions to improve antibiotic prescribing practices in ambulatory care. </w:t>
      </w:r>
      <w:r w:rsidRPr="009E0BAE">
        <w:rPr>
          <w:rFonts w:ascii="Arial" w:hAnsi="Arial" w:cs="Arial"/>
          <w:i/>
          <w:iCs/>
          <w:noProof/>
          <w:sz w:val="22"/>
        </w:rPr>
        <w:t>Cochrane Libr</w:t>
      </w:r>
      <w:r w:rsidRPr="009E0BAE">
        <w:rPr>
          <w:rFonts w:ascii="Arial" w:hAnsi="Arial" w:cs="Arial"/>
          <w:noProof/>
          <w:sz w:val="22"/>
        </w:rPr>
        <w:t xml:space="preserve"> 2009; : 1–78.</w:t>
      </w:r>
    </w:p>
    <w:p w14:paraId="5DC23E9E"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26</w:t>
      </w:r>
      <w:r w:rsidRPr="009E0BAE">
        <w:rPr>
          <w:rFonts w:ascii="Arial" w:hAnsi="Arial" w:cs="Arial"/>
          <w:noProof/>
          <w:sz w:val="22"/>
        </w:rPr>
        <w:tab/>
        <w:t xml:space="preserve">Livermore DM, Hope R, Reynolds R, Blackburn R, Johnson AP, Woodford N. Declining cephalosporin and fluoroquinolone non-susceptibility among bloodstream Enterobacteriaceae from the UK: links to prescribing change? </w:t>
      </w:r>
      <w:r w:rsidRPr="009E0BAE">
        <w:rPr>
          <w:rFonts w:ascii="Arial" w:hAnsi="Arial" w:cs="Arial"/>
          <w:i/>
          <w:iCs/>
          <w:noProof/>
          <w:sz w:val="22"/>
        </w:rPr>
        <w:t>J Antimicrob Chemother</w:t>
      </w:r>
      <w:r w:rsidRPr="009E0BAE">
        <w:rPr>
          <w:rFonts w:ascii="Arial" w:hAnsi="Arial" w:cs="Arial"/>
          <w:noProof/>
          <w:sz w:val="22"/>
        </w:rPr>
        <w:t xml:space="preserve"> 2013; </w:t>
      </w:r>
      <w:r w:rsidRPr="009E0BAE">
        <w:rPr>
          <w:rFonts w:ascii="Arial" w:hAnsi="Arial" w:cs="Arial"/>
          <w:b/>
          <w:bCs/>
          <w:noProof/>
          <w:sz w:val="22"/>
        </w:rPr>
        <w:t>68</w:t>
      </w:r>
      <w:r w:rsidRPr="009E0BAE">
        <w:rPr>
          <w:rFonts w:ascii="Arial" w:hAnsi="Arial" w:cs="Arial"/>
          <w:noProof/>
          <w:sz w:val="22"/>
        </w:rPr>
        <w:t>: 2667–74.</w:t>
      </w:r>
    </w:p>
    <w:p w14:paraId="7FE90B49"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27</w:t>
      </w:r>
      <w:r w:rsidRPr="009E0BAE">
        <w:rPr>
          <w:rFonts w:ascii="Arial" w:hAnsi="Arial" w:cs="Arial"/>
          <w:noProof/>
          <w:sz w:val="22"/>
        </w:rPr>
        <w:tab/>
        <w:t xml:space="preserve">Little P, Stuart B, Francis N, </w:t>
      </w:r>
      <w:r w:rsidRPr="009E0BAE">
        <w:rPr>
          <w:rFonts w:ascii="Arial" w:hAnsi="Arial" w:cs="Arial"/>
          <w:i/>
          <w:iCs/>
          <w:noProof/>
          <w:sz w:val="22"/>
        </w:rPr>
        <w:t>et al.</w:t>
      </w:r>
      <w:r w:rsidRPr="009E0BAE">
        <w:rPr>
          <w:rFonts w:ascii="Arial" w:hAnsi="Arial" w:cs="Arial"/>
          <w:noProof/>
          <w:sz w:val="22"/>
        </w:rPr>
        <w:t xml:space="preserve"> Effects of internet-based training on antibiotic prescribing rates for acute respiratory-tract infections: a multinational, cluster, randomised, factorial, controlled trial. </w:t>
      </w:r>
      <w:r w:rsidRPr="009E0BAE">
        <w:rPr>
          <w:rFonts w:ascii="Arial" w:hAnsi="Arial" w:cs="Arial"/>
          <w:i/>
          <w:iCs/>
          <w:noProof/>
          <w:sz w:val="22"/>
        </w:rPr>
        <w:t>Lancet</w:t>
      </w:r>
      <w:r w:rsidRPr="009E0BAE">
        <w:rPr>
          <w:rFonts w:ascii="Arial" w:hAnsi="Arial" w:cs="Arial"/>
          <w:noProof/>
          <w:sz w:val="22"/>
        </w:rPr>
        <w:t xml:space="preserve"> 2013; </w:t>
      </w:r>
      <w:r w:rsidRPr="009E0BAE">
        <w:rPr>
          <w:rFonts w:ascii="Arial" w:hAnsi="Arial" w:cs="Arial"/>
          <w:b/>
          <w:bCs/>
          <w:noProof/>
          <w:sz w:val="22"/>
        </w:rPr>
        <w:t>382</w:t>
      </w:r>
      <w:r w:rsidRPr="009E0BAE">
        <w:rPr>
          <w:rFonts w:ascii="Arial" w:hAnsi="Arial" w:cs="Arial"/>
          <w:noProof/>
          <w:sz w:val="22"/>
        </w:rPr>
        <w:t>: 1175–82.</w:t>
      </w:r>
    </w:p>
    <w:p w14:paraId="2A62F232"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28</w:t>
      </w:r>
      <w:r w:rsidRPr="009E0BAE">
        <w:rPr>
          <w:rFonts w:ascii="Arial" w:hAnsi="Arial" w:cs="Arial"/>
          <w:noProof/>
          <w:sz w:val="22"/>
        </w:rPr>
        <w:tab/>
        <w:t xml:space="preserve">Davey P, Brown E, Charani E, </w:t>
      </w:r>
      <w:r w:rsidRPr="009E0BAE">
        <w:rPr>
          <w:rFonts w:ascii="Arial" w:hAnsi="Arial" w:cs="Arial"/>
          <w:i/>
          <w:iCs/>
          <w:noProof/>
          <w:sz w:val="22"/>
        </w:rPr>
        <w:t>et al.</w:t>
      </w:r>
      <w:r w:rsidRPr="009E0BAE">
        <w:rPr>
          <w:rFonts w:ascii="Arial" w:hAnsi="Arial" w:cs="Arial"/>
          <w:noProof/>
          <w:sz w:val="22"/>
        </w:rPr>
        <w:t xml:space="preserve"> Interventions to improve antibiotic prescribing practices for hospital inpatients (Review). </w:t>
      </w:r>
      <w:r w:rsidRPr="009E0BAE">
        <w:rPr>
          <w:rFonts w:ascii="Arial" w:hAnsi="Arial" w:cs="Arial"/>
          <w:i/>
          <w:iCs/>
          <w:noProof/>
          <w:sz w:val="22"/>
        </w:rPr>
        <w:t>Cochrane Libr</w:t>
      </w:r>
      <w:r w:rsidRPr="009E0BAE">
        <w:rPr>
          <w:rFonts w:ascii="Arial" w:hAnsi="Arial" w:cs="Arial"/>
          <w:noProof/>
          <w:sz w:val="22"/>
        </w:rPr>
        <w:t xml:space="preserve"> 2013.</w:t>
      </w:r>
    </w:p>
    <w:p w14:paraId="30F2399D"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29</w:t>
      </w:r>
      <w:r w:rsidRPr="009E0BAE">
        <w:rPr>
          <w:rFonts w:ascii="Arial" w:hAnsi="Arial" w:cs="Arial"/>
          <w:noProof/>
          <w:sz w:val="22"/>
        </w:rPr>
        <w:tab/>
        <w:t xml:space="preserve">McNulty CAM, Cookson BD, Lewis MAO. Education of healthcare professionals and the public. </w:t>
      </w:r>
      <w:r w:rsidRPr="009E0BAE">
        <w:rPr>
          <w:rFonts w:ascii="Arial" w:hAnsi="Arial" w:cs="Arial"/>
          <w:i/>
          <w:iCs/>
          <w:noProof/>
          <w:sz w:val="22"/>
        </w:rPr>
        <w:t>J Antimicrob Chemother</w:t>
      </w:r>
      <w:r w:rsidRPr="009E0BAE">
        <w:rPr>
          <w:rFonts w:ascii="Arial" w:hAnsi="Arial" w:cs="Arial"/>
          <w:noProof/>
          <w:sz w:val="22"/>
        </w:rPr>
        <w:t xml:space="preserve"> 2012; </w:t>
      </w:r>
      <w:r w:rsidRPr="009E0BAE">
        <w:rPr>
          <w:rFonts w:ascii="Arial" w:hAnsi="Arial" w:cs="Arial"/>
          <w:b/>
          <w:bCs/>
          <w:noProof/>
          <w:sz w:val="22"/>
        </w:rPr>
        <w:t>67</w:t>
      </w:r>
      <w:r w:rsidRPr="009E0BAE">
        <w:rPr>
          <w:rFonts w:ascii="Arial" w:hAnsi="Arial" w:cs="Arial"/>
          <w:noProof/>
          <w:sz w:val="22"/>
        </w:rPr>
        <w:t>: 11–8.</w:t>
      </w:r>
    </w:p>
    <w:p w14:paraId="57990085"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30</w:t>
      </w:r>
      <w:r w:rsidRPr="009E0BAE">
        <w:rPr>
          <w:rFonts w:ascii="Arial" w:hAnsi="Arial" w:cs="Arial"/>
          <w:noProof/>
          <w:sz w:val="22"/>
        </w:rPr>
        <w:tab/>
        <w:t xml:space="preserve">Turnidge J, Christiansen K. Antibiotic use and resistance--proving the obvious. </w:t>
      </w:r>
      <w:r w:rsidRPr="009E0BAE">
        <w:rPr>
          <w:rFonts w:ascii="Arial" w:hAnsi="Arial" w:cs="Arial"/>
          <w:i/>
          <w:iCs/>
          <w:noProof/>
          <w:sz w:val="22"/>
        </w:rPr>
        <w:t>Lancet</w:t>
      </w:r>
      <w:r w:rsidRPr="009E0BAE">
        <w:rPr>
          <w:rFonts w:ascii="Arial" w:hAnsi="Arial" w:cs="Arial"/>
          <w:noProof/>
          <w:sz w:val="22"/>
        </w:rPr>
        <w:t xml:space="preserve"> 2005; </w:t>
      </w:r>
      <w:r w:rsidRPr="009E0BAE">
        <w:rPr>
          <w:rFonts w:ascii="Arial" w:hAnsi="Arial" w:cs="Arial"/>
          <w:b/>
          <w:bCs/>
          <w:noProof/>
          <w:sz w:val="22"/>
        </w:rPr>
        <w:t>365</w:t>
      </w:r>
      <w:r w:rsidRPr="009E0BAE">
        <w:rPr>
          <w:rFonts w:ascii="Arial" w:hAnsi="Arial" w:cs="Arial"/>
          <w:noProof/>
          <w:sz w:val="22"/>
        </w:rPr>
        <w:t>: 548–9.</w:t>
      </w:r>
    </w:p>
    <w:p w14:paraId="23B5C8E8"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31</w:t>
      </w:r>
      <w:r w:rsidRPr="009E0BAE">
        <w:rPr>
          <w:rFonts w:ascii="Arial" w:hAnsi="Arial" w:cs="Arial"/>
          <w:noProof/>
          <w:sz w:val="22"/>
        </w:rPr>
        <w:tab/>
        <w:t xml:space="preserve">Grijalva CG. Decrease in antibiotic use, an added benefit of PCVs. </w:t>
      </w:r>
      <w:r w:rsidRPr="009E0BAE">
        <w:rPr>
          <w:rFonts w:ascii="Arial" w:hAnsi="Arial" w:cs="Arial"/>
          <w:i/>
          <w:iCs/>
          <w:noProof/>
          <w:sz w:val="22"/>
        </w:rPr>
        <w:t>Lancet Infect Dis</w:t>
      </w:r>
      <w:r w:rsidRPr="009E0BAE">
        <w:rPr>
          <w:rFonts w:ascii="Arial" w:hAnsi="Arial" w:cs="Arial"/>
          <w:noProof/>
          <w:sz w:val="22"/>
        </w:rPr>
        <w:t xml:space="preserve"> 2014; </w:t>
      </w:r>
      <w:r w:rsidRPr="009E0BAE">
        <w:rPr>
          <w:rFonts w:ascii="Arial" w:hAnsi="Arial" w:cs="Arial"/>
          <w:b/>
          <w:bCs/>
          <w:noProof/>
          <w:sz w:val="22"/>
        </w:rPr>
        <w:t>14</w:t>
      </w:r>
      <w:r w:rsidRPr="009E0BAE">
        <w:rPr>
          <w:rFonts w:ascii="Arial" w:hAnsi="Arial" w:cs="Arial"/>
          <w:noProof/>
          <w:sz w:val="22"/>
        </w:rPr>
        <w:t>: 175–7.</w:t>
      </w:r>
    </w:p>
    <w:p w14:paraId="0FE936EA"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32</w:t>
      </w:r>
      <w:r w:rsidRPr="009E0BAE">
        <w:rPr>
          <w:rFonts w:ascii="Arial" w:hAnsi="Arial" w:cs="Arial"/>
          <w:noProof/>
          <w:sz w:val="22"/>
        </w:rPr>
        <w:tab/>
        <w:t>European Medicines Agency: European Surveillance of Vetinary Antimicrobial Consumption. Sales of veterinary antimicrobial agents in 25 EU / EEA countries. Third ESVAC report. London, 2013 doi:EMA/236501/2013.</w:t>
      </w:r>
    </w:p>
    <w:p w14:paraId="00EC5F31"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33</w:t>
      </w:r>
      <w:r w:rsidRPr="009E0BAE">
        <w:rPr>
          <w:rFonts w:ascii="Arial" w:hAnsi="Arial" w:cs="Arial"/>
          <w:noProof/>
          <w:sz w:val="22"/>
        </w:rPr>
        <w:tab/>
        <w:t xml:space="preserve">Rantala M, Hölsö K, Lillas A, Huovinen P, Kaartinen L. Survey of condition-based prescribing of antimicrobial drugs for dogs at a veterinary teaching hospital. </w:t>
      </w:r>
      <w:r w:rsidRPr="009E0BAE">
        <w:rPr>
          <w:rFonts w:ascii="Arial" w:hAnsi="Arial" w:cs="Arial"/>
          <w:i/>
          <w:iCs/>
          <w:noProof/>
          <w:sz w:val="22"/>
        </w:rPr>
        <w:t>Vet Rec</w:t>
      </w:r>
      <w:r w:rsidRPr="009E0BAE">
        <w:rPr>
          <w:rFonts w:ascii="Arial" w:hAnsi="Arial" w:cs="Arial"/>
          <w:noProof/>
          <w:sz w:val="22"/>
        </w:rPr>
        <w:t xml:space="preserve"> 2004; </w:t>
      </w:r>
      <w:r w:rsidRPr="009E0BAE">
        <w:rPr>
          <w:rFonts w:ascii="Arial" w:hAnsi="Arial" w:cs="Arial"/>
          <w:b/>
          <w:bCs/>
          <w:noProof/>
          <w:sz w:val="22"/>
        </w:rPr>
        <w:t>155</w:t>
      </w:r>
      <w:r w:rsidRPr="009E0BAE">
        <w:rPr>
          <w:rFonts w:ascii="Arial" w:hAnsi="Arial" w:cs="Arial"/>
          <w:noProof/>
          <w:sz w:val="22"/>
        </w:rPr>
        <w:t>: 259–62.</w:t>
      </w:r>
    </w:p>
    <w:p w14:paraId="070C866A"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34</w:t>
      </w:r>
      <w:r w:rsidRPr="009E0BAE">
        <w:rPr>
          <w:rFonts w:ascii="Arial" w:hAnsi="Arial" w:cs="Arial"/>
          <w:noProof/>
          <w:sz w:val="22"/>
        </w:rPr>
        <w:tab/>
        <w:t xml:space="preserve">Schwarz S, Kehrenberg C, Walsh TR. Use of antimicrobial agents in veterinary medicine and food animal production. </w:t>
      </w:r>
      <w:r w:rsidRPr="009E0BAE">
        <w:rPr>
          <w:rFonts w:ascii="Arial" w:hAnsi="Arial" w:cs="Arial"/>
          <w:i/>
          <w:iCs/>
          <w:noProof/>
          <w:sz w:val="22"/>
        </w:rPr>
        <w:t>Int J Antimicrob Agents</w:t>
      </w:r>
      <w:r w:rsidRPr="009E0BAE">
        <w:rPr>
          <w:rFonts w:ascii="Arial" w:hAnsi="Arial" w:cs="Arial"/>
          <w:noProof/>
          <w:sz w:val="22"/>
        </w:rPr>
        <w:t xml:space="preserve"> 2001; </w:t>
      </w:r>
      <w:r w:rsidRPr="009E0BAE">
        <w:rPr>
          <w:rFonts w:ascii="Arial" w:hAnsi="Arial" w:cs="Arial"/>
          <w:b/>
          <w:bCs/>
          <w:noProof/>
          <w:sz w:val="22"/>
        </w:rPr>
        <w:t>17</w:t>
      </w:r>
      <w:r w:rsidRPr="009E0BAE">
        <w:rPr>
          <w:rFonts w:ascii="Arial" w:hAnsi="Arial" w:cs="Arial"/>
          <w:noProof/>
          <w:sz w:val="22"/>
        </w:rPr>
        <w:t>: 431–7.</w:t>
      </w:r>
    </w:p>
    <w:p w14:paraId="068D390D"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lastRenderedPageBreak/>
        <w:t>35</w:t>
      </w:r>
      <w:r w:rsidRPr="009E0BAE">
        <w:rPr>
          <w:rFonts w:ascii="Arial" w:hAnsi="Arial" w:cs="Arial"/>
          <w:noProof/>
          <w:sz w:val="22"/>
        </w:rPr>
        <w:tab/>
        <w:t xml:space="preserve">Cabello FC. Heavy use of prophylactic antibiotics in aquaculture: a growing problem for human and animal health and for the environment. </w:t>
      </w:r>
      <w:r w:rsidRPr="009E0BAE">
        <w:rPr>
          <w:rFonts w:ascii="Arial" w:hAnsi="Arial" w:cs="Arial"/>
          <w:i/>
          <w:iCs/>
          <w:noProof/>
          <w:sz w:val="22"/>
        </w:rPr>
        <w:t>Environ Microbiol</w:t>
      </w:r>
      <w:r w:rsidRPr="009E0BAE">
        <w:rPr>
          <w:rFonts w:ascii="Arial" w:hAnsi="Arial" w:cs="Arial"/>
          <w:noProof/>
          <w:sz w:val="22"/>
        </w:rPr>
        <w:t xml:space="preserve"> 2006; </w:t>
      </w:r>
      <w:r w:rsidRPr="009E0BAE">
        <w:rPr>
          <w:rFonts w:ascii="Arial" w:hAnsi="Arial" w:cs="Arial"/>
          <w:b/>
          <w:bCs/>
          <w:noProof/>
          <w:sz w:val="22"/>
        </w:rPr>
        <w:t>8</w:t>
      </w:r>
      <w:r w:rsidRPr="009E0BAE">
        <w:rPr>
          <w:rFonts w:ascii="Arial" w:hAnsi="Arial" w:cs="Arial"/>
          <w:noProof/>
          <w:sz w:val="22"/>
        </w:rPr>
        <w:t>: 1137–44.</w:t>
      </w:r>
    </w:p>
    <w:p w14:paraId="72D24A99"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36</w:t>
      </w:r>
      <w:r w:rsidRPr="009E0BAE">
        <w:rPr>
          <w:rFonts w:ascii="Arial" w:hAnsi="Arial" w:cs="Arial"/>
          <w:noProof/>
          <w:sz w:val="22"/>
        </w:rPr>
        <w:tab/>
        <w:t xml:space="preserve">Parsley LC, Consuegra EJ, Kakirde KS, Land AM, Harper WF, Liles MR. Identification of diverse antimicrobial resistance determinants carried on bacterial, plasmid, or viral metagenomes from an activated sludge microbial assemblage. </w:t>
      </w:r>
      <w:r w:rsidRPr="009E0BAE">
        <w:rPr>
          <w:rFonts w:ascii="Arial" w:hAnsi="Arial" w:cs="Arial"/>
          <w:i/>
          <w:iCs/>
          <w:noProof/>
          <w:sz w:val="22"/>
        </w:rPr>
        <w:t>Appl Environ Microbiol</w:t>
      </w:r>
      <w:r w:rsidRPr="009E0BAE">
        <w:rPr>
          <w:rFonts w:ascii="Arial" w:hAnsi="Arial" w:cs="Arial"/>
          <w:noProof/>
          <w:sz w:val="22"/>
        </w:rPr>
        <w:t xml:space="preserve"> 2010; </w:t>
      </w:r>
      <w:r w:rsidRPr="009E0BAE">
        <w:rPr>
          <w:rFonts w:ascii="Arial" w:hAnsi="Arial" w:cs="Arial"/>
          <w:b/>
          <w:bCs/>
          <w:noProof/>
          <w:sz w:val="22"/>
        </w:rPr>
        <w:t>76</w:t>
      </w:r>
      <w:r w:rsidRPr="009E0BAE">
        <w:rPr>
          <w:rFonts w:ascii="Arial" w:hAnsi="Arial" w:cs="Arial"/>
          <w:noProof/>
          <w:sz w:val="22"/>
        </w:rPr>
        <w:t>: 3753–7.</w:t>
      </w:r>
    </w:p>
    <w:p w14:paraId="0884D1D9"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37</w:t>
      </w:r>
      <w:r w:rsidRPr="009E0BAE">
        <w:rPr>
          <w:rFonts w:ascii="Arial" w:hAnsi="Arial" w:cs="Arial"/>
          <w:noProof/>
          <w:sz w:val="22"/>
        </w:rPr>
        <w:tab/>
        <w:t xml:space="preserve">Colomer-Lluch M, Imamovic L, Jofre J, Muniesa M. Bacteriophages carrying antibiotic resistance genes in fecal waste from cattle, pigs, and poultry. </w:t>
      </w:r>
      <w:r w:rsidRPr="009E0BAE">
        <w:rPr>
          <w:rFonts w:ascii="Arial" w:hAnsi="Arial" w:cs="Arial"/>
          <w:i/>
          <w:iCs/>
          <w:noProof/>
          <w:sz w:val="22"/>
        </w:rPr>
        <w:t>Antimicrob Agents Chemother</w:t>
      </w:r>
      <w:r w:rsidRPr="009E0BAE">
        <w:rPr>
          <w:rFonts w:ascii="Arial" w:hAnsi="Arial" w:cs="Arial"/>
          <w:noProof/>
          <w:sz w:val="22"/>
        </w:rPr>
        <w:t xml:space="preserve"> 2011; </w:t>
      </w:r>
      <w:r w:rsidRPr="009E0BAE">
        <w:rPr>
          <w:rFonts w:ascii="Arial" w:hAnsi="Arial" w:cs="Arial"/>
          <w:b/>
          <w:bCs/>
          <w:noProof/>
          <w:sz w:val="22"/>
        </w:rPr>
        <w:t>55</w:t>
      </w:r>
      <w:r w:rsidRPr="009E0BAE">
        <w:rPr>
          <w:rFonts w:ascii="Arial" w:hAnsi="Arial" w:cs="Arial"/>
          <w:noProof/>
          <w:sz w:val="22"/>
        </w:rPr>
        <w:t>: 4908–11.</w:t>
      </w:r>
    </w:p>
    <w:p w14:paraId="6A733018"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38</w:t>
      </w:r>
      <w:r w:rsidRPr="009E0BAE">
        <w:rPr>
          <w:rFonts w:ascii="Arial" w:hAnsi="Arial" w:cs="Arial"/>
          <w:noProof/>
          <w:sz w:val="22"/>
        </w:rPr>
        <w:tab/>
        <w:t xml:space="preserve">Unemo M, Golparian D, Nicholas R, Ohnishi M, Gallay A, Sednaoui P. High-level cefixime- and ceftriaxone-resistant Neisseria gonorrhoeae in France: novel penA mosaic allele in a successful international clone causes treatment failure. </w:t>
      </w:r>
      <w:r w:rsidRPr="009E0BAE">
        <w:rPr>
          <w:rFonts w:ascii="Arial" w:hAnsi="Arial" w:cs="Arial"/>
          <w:i/>
          <w:iCs/>
          <w:noProof/>
          <w:sz w:val="22"/>
        </w:rPr>
        <w:t>Antimicrob Agents Chemother</w:t>
      </w:r>
      <w:r w:rsidRPr="009E0BAE">
        <w:rPr>
          <w:rFonts w:ascii="Arial" w:hAnsi="Arial" w:cs="Arial"/>
          <w:noProof/>
          <w:sz w:val="22"/>
        </w:rPr>
        <w:t xml:space="preserve"> 2012; </w:t>
      </w:r>
      <w:r w:rsidRPr="009E0BAE">
        <w:rPr>
          <w:rFonts w:ascii="Arial" w:hAnsi="Arial" w:cs="Arial"/>
          <w:b/>
          <w:bCs/>
          <w:noProof/>
          <w:sz w:val="22"/>
        </w:rPr>
        <w:t>56</w:t>
      </w:r>
      <w:r w:rsidRPr="009E0BAE">
        <w:rPr>
          <w:rFonts w:ascii="Arial" w:hAnsi="Arial" w:cs="Arial"/>
          <w:noProof/>
          <w:sz w:val="22"/>
        </w:rPr>
        <w:t>: 1273–80.</w:t>
      </w:r>
    </w:p>
    <w:p w14:paraId="600906BF"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39</w:t>
      </w:r>
      <w:r w:rsidRPr="009E0BAE">
        <w:rPr>
          <w:rFonts w:ascii="Arial" w:hAnsi="Arial" w:cs="Arial"/>
          <w:noProof/>
          <w:sz w:val="22"/>
        </w:rPr>
        <w:tab/>
        <w:t xml:space="preserve">Dhanji H, Doumith M, Rooney PJ, </w:t>
      </w:r>
      <w:r w:rsidRPr="009E0BAE">
        <w:rPr>
          <w:rFonts w:ascii="Arial" w:hAnsi="Arial" w:cs="Arial"/>
          <w:i/>
          <w:iCs/>
          <w:noProof/>
          <w:sz w:val="22"/>
        </w:rPr>
        <w:t>et al.</w:t>
      </w:r>
      <w:r w:rsidRPr="009E0BAE">
        <w:rPr>
          <w:rFonts w:ascii="Arial" w:hAnsi="Arial" w:cs="Arial"/>
          <w:noProof/>
          <w:sz w:val="22"/>
        </w:rPr>
        <w:t xml:space="preserve"> Molecular epidemiology of fluoroquinolone-resistant ST131 Escherichia coli producing CTX-M extended-spectrum beta-lactamases in nursing homes in Belfast, UK. </w:t>
      </w:r>
      <w:r w:rsidRPr="009E0BAE">
        <w:rPr>
          <w:rFonts w:ascii="Arial" w:hAnsi="Arial" w:cs="Arial"/>
          <w:i/>
          <w:iCs/>
          <w:noProof/>
          <w:sz w:val="22"/>
        </w:rPr>
        <w:t>J Antimicrob Chemother</w:t>
      </w:r>
      <w:r w:rsidRPr="009E0BAE">
        <w:rPr>
          <w:rFonts w:ascii="Arial" w:hAnsi="Arial" w:cs="Arial"/>
          <w:noProof/>
          <w:sz w:val="22"/>
        </w:rPr>
        <w:t xml:space="preserve"> 2011; </w:t>
      </w:r>
      <w:r w:rsidRPr="009E0BAE">
        <w:rPr>
          <w:rFonts w:ascii="Arial" w:hAnsi="Arial" w:cs="Arial"/>
          <w:b/>
          <w:bCs/>
          <w:noProof/>
          <w:sz w:val="22"/>
        </w:rPr>
        <w:t>66</w:t>
      </w:r>
      <w:r w:rsidRPr="009E0BAE">
        <w:rPr>
          <w:rFonts w:ascii="Arial" w:hAnsi="Arial" w:cs="Arial"/>
          <w:noProof/>
          <w:sz w:val="22"/>
        </w:rPr>
        <w:t>: 297–303.</w:t>
      </w:r>
    </w:p>
    <w:p w14:paraId="5554BB28"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40</w:t>
      </w:r>
      <w:r w:rsidRPr="009E0BAE">
        <w:rPr>
          <w:rFonts w:ascii="Arial" w:hAnsi="Arial" w:cs="Arial"/>
          <w:noProof/>
          <w:sz w:val="22"/>
        </w:rPr>
        <w:tab/>
        <w:t xml:space="preserve">Wozniak RAF, Waldor MK. Integrative and conjugative elements: mosaic mobile genetic elements enabling dynamic lateral gene flow. </w:t>
      </w:r>
      <w:r w:rsidRPr="009E0BAE">
        <w:rPr>
          <w:rFonts w:ascii="Arial" w:hAnsi="Arial" w:cs="Arial"/>
          <w:i/>
          <w:iCs/>
          <w:noProof/>
          <w:sz w:val="22"/>
        </w:rPr>
        <w:t>Nat Rev Microbiol</w:t>
      </w:r>
      <w:r w:rsidRPr="009E0BAE">
        <w:rPr>
          <w:rFonts w:ascii="Arial" w:hAnsi="Arial" w:cs="Arial"/>
          <w:noProof/>
          <w:sz w:val="22"/>
        </w:rPr>
        <w:t xml:space="preserve"> 2010; </w:t>
      </w:r>
      <w:r w:rsidRPr="009E0BAE">
        <w:rPr>
          <w:rFonts w:ascii="Arial" w:hAnsi="Arial" w:cs="Arial"/>
          <w:b/>
          <w:bCs/>
          <w:noProof/>
          <w:sz w:val="22"/>
        </w:rPr>
        <w:t>8</w:t>
      </w:r>
      <w:r w:rsidRPr="009E0BAE">
        <w:rPr>
          <w:rFonts w:ascii="Arial" w:hAnsi="Arial" w:cs="Arial"/>
          <w:noProof/>
          <w:sz w:val="22"/>
        </w:rPr>
        <w:t>: 552–63.</w:t>
      </w:r>
    </w:p>
    <w:p w14:paraId="2E9CCB58"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41</w:t>
      </w:r>
      <w:r w:rsidRPr="009E0BAE">
        <w:rPr>
          <w:rFonts w:ascii="Arial" w:hAnsi="Arial" w:cs="Arial"/>
          <w:noProof/>
          <w:sz w:val="22"/>
        </w:rPr>
        <w:tab/>
        <w:t xml:space="preserve">Beaber JW, Hochhut B, Waldor MK. SOS response promotes horizontal dissemination of antibiotic resistance genes. </w:t>
      </w:r>
      <w:r w:rsidRPr="009E0BAE">
        <w:rPr>
          <w:rFonts w:ascii="Arial" w:hAnsi="Arial" w:cs="Arial"/>
          <w:i/>
          <w:iCs/>
          <w:noProof/>
          <w:sz w:val="22"/>
        </w:rPr>
        <w:t>Nature</w:t>
      </w:r>
      <w:r w:rsidRPr="009E0BAE">
        <w:rPr>
          <w:rFonts w:ascii="Arial" w:hAnsi="Arial" w:cs="Arial"/>
          <w:noProof/>
          <w:sz w:val="22"/>
        </w:rPr>
        <w:t xml:space="preserve"> 2004; </w:t>
      </w:r>
      <w:r w:rsidRPr="009E0BAE">
        <w:rPr>
          <w:rFonts w:ascii="Arial" w:hAnsi="Arial" w:cs="Arial"/>
          <w:b/>
          <w:bCs/>
          <w:noProof/>
          <w:sz w:val="22"/>
        </w:rPr>
        <w:t>427</w:t>
      </w:r>
      <w:r w:rsidRPr="009E0BAE">
        <w:rPr>
          <w:rFonts w:ascii="Arial" w:hAnsi="Arial" w:cs="Arial"/>
          <w:noProof/>
          <w:sz w:val="22"/>
        </w:rPr>
        <w:t>: 72–4.</w:t>
      </w:r>
    </w:p>
    <w:p w14:paraId="5031B254"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42</w:t>
      </w:r>
      <w:r w:rsidRPr="009E0BAE">
        <w:rPr>
          <w:rFonts w:ascii="Arial" w:hAnsi="Arial" w:cs="Arial"/>
          <w:noProof/>
          <w:sz w:val="22"/>
        </w:rPr>
        <w:tab/>
        <w:t xml:space="preserve">Wellington EMH, Boxall AB, Cross P, </w:t>
      </w:r>
      <w:r w:rsidRPr="009E0BAE">
        <w:rPr>
          <w:rFonts w:ascii="Arial" w:hAnsi="Arial" w:cs="Arial"/>
          <w:i/>
          <w:iCs/>
          <w:noProof/>
          <w:sz w:val="22"/>
        </w:rPr>
        <w:t>et al.</w:t>
      </w:r>
      <w:r w:rsidRPr="009E0BAE">
        <w:rPr>
          <w:rFonts w:ascii="Arial" w:hAnsi="Arial" w:cs="Arial"/>
          <w:noProof/>
          <w:sz w:val="22"/>
        </w:rPr>
        <w:t xml:space="preserve"> The role of the natural environment in the emergence of antibiotic resistance in gram-negative bacteria. </w:t>
      </w:r>
      <w:r w:rsidRPr="009E0BAE">
        <w:rPr>
          <w:rFonts w:ascii="Arial" w:hAnsi="Arial" w:cs="Arial"/>
          <w:i/>
          <w:iCs/>
          <w:noProof/>
          <w:sz w:val="22"/>
        </w:rPr>
        <w:t>Lancet Infect Dis</w:t>
      </w:r>
      <w:r w:rsidRPr="009E0BAE">
        <w:rPr>
          <w:rFonts w:ascii="Arial" w:hAnsi="Arial" w:cs="Arial"/>
          <w:noProof/>
          <w:sz w:val="22"/>
        </w:rPr>
        <w:t xml:space="preserve"> 2013; </w:t>
      </w:r>
      <w:r w:rsidRPr="009E0BAE">
        <w:rPr>
          <w:rFonts w:ascii="Arial" w:hAnsi="Arial" w:cs="Arial"/>
          <w:b/>
          <w:bCs/>
          <w:noProof/>
          <w:sz w:val="22"/>
        </w:rPr>
        <w:t>13</w:t>
      </w:r>
      <w:r w:rsidRPr="009E0BAE">
        <w:rPr>
          <w:rFonts w:ascii="Arial" w:hAnsi="Arial" w:cs="Arial"/>
          <w:noProof/>
          <w:sz w:val="22"/>
        </w:rPr>
        <w:t>: 155–65.</w:t>
      </w:r>
    </w:p>
    <w:p w14:paraId="1D9325AC"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43</w:t>
      </w:r>
      <w:r w:rsidRPr="009E0BAE">
        <w:rPr>
          <w:rFonts w:ascii="Arial" w:hAnsi="Arial" w:cs="Arial"/>
          <w:noProof/>
          <w:sz w:val="22"/>
        </w:rPr>
        <w:tab/>
        <w:t xml:space="preserve">Lewis DA. The role of core groups in the emergence and dissemination of antimicrobial-resistant N gonorrhoeae. </w:t>
      </w:r>
      <w:r w:rsidRPr="009E0BAE">
        <w:rPr>
          <w:rFonts w:ascii="Arial" w:hAnsi="Arial" w:cs="Arial"/>
          <w:i/>
          <w:iCs/>
          <w:noProof/>
          <w:sz w:val="22"/>
        </w:rPr>
        <w:t>Sex Transm Infect</w:t>
      </w:r>
      <w:r w:rsidRPr="009E0BAE">
        <w:rPr>
          <w:rFonts w:ascii="Arial" w:hAnsi="Arial" w:cs="Arial"/>
          <w:noProof/>
          <w:sz w:val="22"/>
        </w:rPr>
        <w:t xml:space="preserve"> 2013; </w:t>
      </w:r>
      <w:r w:rsidRPr="009E0BAE">
        <w:rPr>
          <w:rFonts w:ascii="Arial" w:hAnsi="Arial" w:cs="Arial"/>
          <w:b/>
          <w:bCs/>
          <w:noProof/>
          <w:sz w:val="22"/>
        </w:rPr>
        <w:t>89</w:t>
      </w:r>
      <w:r w:rsidRPr="009E0BAE">
        <w:rPr>
          <w:rFonts w:ascii="Arial" w:hAnsi="Arial" w:cs="Arial"/>
          <w:noProof/>
          <w:sz w:val="22"/>
        </w:rPr>
        <w:t>: 47–51.</w:t>
      </w:r>
    </w:p>
    <w:p w14:paraId="3118F334"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44</w:t>
      </w:r>
      <w:r w:rsidRPr="009E0BAE">
        <w:rPr>
          <w:rFonts w:ascii="Arial" w:hAnsi="Arial" w:cs="Arial"/>
          <w:noProof/>
          <w:sz w:val="22"/>
        </w:rPr>
        <w:tab/>
        <w:t xml:space="preserve">Chamchod F, Ruan S. Modeling methicillin-resistant Staphylococcus aureus in hospitals: transmission dynamics, antibiotic usage and its history. </w:t>
      </w:r>
      <w:r w:rsidRPr="009E0BAE">
        <w:rPr>
          <w:rFonts w:ascii="Arial" w:hAnsi="Arial" w:cs="Arial"/>
          <w:i/>
          <w:iCs/>
          <w:noProof/>
          <w:sz w:val="22"/>
        </w:rPr>
        <w:t>Theor Biol Med Model</w:t>
      </w:r>
      <w:r w:rsidRPr="009E0BAE">
        <w:rPr>
          <w:rFonts w:ascii="Arial" w:hAnsi="Arial" w:cs="Arial"/>
          <w:noProof/>
          <w:sz w:val="22"/>
        </w:rPr>
        <w:t xml:space="preserve"> 2012; </w:t>
      </w:r>
      <w:r w:rsidRPr="009E0BAE">
        <w:rPr>
          <w:rFonts w:ascii="Arial" w:hAnsi="Arial" w:cs="Arial"/>
          <w:b/>
          <w:bCs/>
          <w:noProof/>
          <w:sz w:val="22"/>
        </w:rPr>
        <w:t>9</w:t>
      </w:r>
      <w:r w:rsidRPr="009E0BAE">
        <w:rPr>
          <w:rFonts w:ascii="Arial" w:hAnsi="Arial" w:cs="Arial"/>
          <w:noProof/>
          <w:sz w:val="22"/>
        </w:rPr>
        <w:t>: 25.</w:t>
      </w:r>
    </w:p>
    <w:p w14:paraId="2536E2D1"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45</w:t>
      </w:r>
      <w:r w:rsidRPr="009E0BAE">
        <w:rPr>
          <w:rFonts w:ascii="Arial" w:hAnsi="Arial" w:cs="Arial"/>
          <w:noProof/>
          <w:sz w:val="22"/>
        </w:rPr>
        <w:tab/>
        <w:t xml:space="preserve">Harris SR, Cartwright EJP, Török ME, </w:t>
      </w:r>
      <w:r w:rsidRPr="009E0BAE">
        <w:rPr>
          <w:rFonts w:ascii="Arial" w:hAnsi="Arial" w:cs="Arial"/>
          <w:i/>
          <w:iCs/>
          <w:noProof/>
          <w:sz w:val="22"/>
        </w:rPr>
        <w:t>et al.</w:t>
      </w:r>
      <w:r w:rsidRPr="009E0BAE">
        <w:rPr>
          <w:rFonts w:ascii="Arial" w:hAnsi="Arial" w:cs="Arial"/>
          <w:noProof/>
          <w:sz w:val="22"/>
        </w:rPr>
        <w:t xml:space="preserve"> Whole-genome sequencing for analysis of an outbreak of meticillin-resistant Staphylococcus aureus: a descriptive study. </w:t>
      </w:r>
      <w:r w:rsidRPr="009E0BAE">
        <w:rPr>
          <w:rFonts w:ascii="Arial" w:hAnsi="Arial" w:cs="Arial"/>
          <w:i/>
          <w:iCs/>
          <w:noProof/>
          <w:sz w:val="22"/>
        </w:rPr>
        <w:t>Lancet Infect Dis</w:t>
      </w:r>
      <w:r w:rsidRPr="009E0BAE">
        <w:rPr>
          <w:rFonts w:ascii="Arial" w:hAnsi="Arial" w:cs="Arial"/>
          <w:noProof/>
          <w:sz w:val="22"/>
        </w:rPr>
        <w:t xml:space="preserve"> 2013; </w:t>
      </w:r>
      <w:r w:rsidRPr="009E0BAE">
        <w:rPr>
          <w:rFonts w:ascii="Arial" w:hAnsi="Arial" w:cs="Arial"/>
          <w:b/>
          <w:bCs/>
          <w:noProof/>
          <w:sz w:val="22"/>
        </w:rPr>
        <w:t>13</w:t>
      </w:r>
      <w:r w:rsidRPr="009E0BAE">
        <w:rPr>
          <w:rFonts w:ascii="Arial" w:hAnsi="Arial" w:cs="Arial"/>
          <w:noProof/>
          <w:sz w:val="22"/>
        </w:rPr>
        <w:t>: 130–6.</w:t>
      </w:r>
    </w:p>
    <w:p w14:paraId="45A825FF"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46</w:t>
      </w:r>
      <w:r w:rsidRPr="009E0BAE">
        <w:rPr>
          <w:rFonts w:ascii="Arial" w:hAnsi="Arial" w:cs="Arial"/>
          <w:noProof/>
          <w:sz w:val="22"/>
        </w:rPr>
        <w:tab/>
        <w:t xml:space="preserve">Davis G, Sevdalis N, Drumright L. Spatial and temporal analyses to investigate infectious disease transmission within healthcare settings. </w:t>
      </w:r>
      <w:r w:rsidRPr="009E0BAE">
        <w:rPr>
          <w:rFonts w:ascii="Arial" w:hAnsi="Arial" w:cs="Arial"/>
          <w:i/>
          <w:iCs/>
          <w:noProof/>
          <w:sz w:val="22"/>
        </w:rPr>
        <w:t>J Hosp Infect</w:t>
      </w:r>
      <w:r w:rsidRPr="009E0BAE">
        <w:rPr>
          <w:rFonts w:ascii="Arial" w:hAnsi="Arial" w:cs="Arial"/>
          <w:noProof/>
          <w:sz w:val="22"/>
        </w:rPr>
        <w:t xml:space="preserve"> 2014; </w:t>
      </w:r>
      <w:r w:rsidRPr="009E0BAE">
        <w:rPr>
          <w:rFonts w:ascii="Arial" w:hAnsi="Arial" w:cs="Arial"/>
          <w:b/>
          <w:bCs/>
          <w:noProof/>
          <w:sz w:val="22"/>
        </w:rPr>
        <w:t>86</w:t>
      </w:r>
      <w:r w:rsidRPr="009E0BAE">
        <w:rPr>
          <w:rFonts w:ascii="Arial" w:hAnsi="Arial" w:cs="Arial"/>
          <w:noProof/>
          <w:sz w:val="22"/>
        </w:rPr>
        <w:t>: 227–43.</w:t>
      </w:r>
    </w:p>
    <w:p w14:paraId="5EC678B5"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47</w:t>
      </w:r>
      <w:r w:rsidRPr="009E0BAE">
        <w:rPr>
          <w:rFonts w:ascii="Arial" w:hAnsi="Arial" w:cs="Arial"/>
          <w:noProof/>
          <w:sz w:val="22"/>
        </w:rPr>
        <w:tab/>
        <w:t xml:space="preserve">Donker T, Wallinga J, Slack R, Grundmann H. Hospital networks and the dispersal of hospital-acquired pathogens by patient transfer. </w:t>
      </w:r>
      <w:r w:rsidRPr="009E0BAE">
        <w:rPr>
          <w:rFonts w:ascii="Arial" w:hAnsi="Arial" w:cs="Arial"/>
          <w:i/>
          <w:iCs/>
          <w:noProof/>
          <w:sz w:val="22"/>
        </w:rPr>
        <w:t>PLoS One</w:t>
      </w:r>
      <w:r w:rsidRPr="009E0BAE">
        <w:rPr>
          <w:rFonts w:ascii="Arial" w:hAnsi="Arial" w:cs="Arial"/>
          <w:noProof/>
          <w:sz w:val="22"/>
        </w:rPr>
        <w:t xml:space="preserve"> 2012; </w:t>
      </w:r>
      <w:r w:rsidRPr="009E0BAE">
        <w:rPr>
          <w:rFonts w:ascii="Arial" w:hAnsi="Arial" w:cs="Arial"/>
          <w:b/>
          <w:bCs/>
          <w:noProof/>
          <w:sz w:val="22"/>
        </w:rPr>
        <w:t>7</w:t>
      </w:r>
      <w:r w:rsidRPr="009E0BAE">
        <w:rPr>
          <w:rFonts w:ascii="Arial" w:hAnsi="Arial" w:cs="Arial"/>
          <w:noProof/>
          <w:sz w:val="22"/>
        </w:rPr>
        <w:t>: e35002.</w:t>
      </w:r>
    </w:p>
    <w:p w14:paraId="7F11A61F"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48</w:t>
      </w:r>
      <w:r w:rsidRPr="009E0BAE">
        <w:rPr>
          <w:rFonts w:ascii="Arial" w:hAnsi="Arial" w:cs="Arial"/>
          <w:noProof/>
          <w:sz w:val="22"/>
        </w:rPr>
        <w:tab/>
        <w:t xml:space="preserve">Woerther P-L, Burdet C, Chachaty E, Andremont A. Trends in Human Fecal Carriage of Extended-Spectrum β-Lactamases in the Community: Toward the Globalization of CTX-M. </w:t>
      </w:r>
      <w:r w:rsidRPr="009E0BAE">
        <w:rPr>
          <w:rFonts w:ascii="Arial" w:hAnsi="Arial" w:cs="Arial"/>
          <w:i/>
          <w:iCs/>
          <w:noProof/>
          <w:sz w:val="22"/>
        </w:rPr>
        <w:t>Clin Microbiol Rev</w:t>
      </w:r>
      <w:r w:rsidRPr="009E0BAE">
        <w:rPr>
          <w:rFonts w:ascii="Arial" w:hAnsi="Arial" w:cs="Arial"/>
          <w:noProof/>
          <w:sz w:val="22"/>
        </w:rPr>
        <w:t xml:space="preserve"> 2013; </w:t>
      </w:r>
      <w:r w:rsidRPr="009E0BAE">
        <w:rPr>
          <w:rFonts w:ascii="Arial" w:hAnsi="Arial" w:cs="Arial"/>
          <w:b/>
          <w:bCs/>
          <w:noProof/>
          <w:sz w:val="22"/>
        </w:rPr>
        <w:t>26</w:t>
      </w:r>
      <w:r w:rsidRPr="009E0BAE">
        <w:rPr>
          <w:rFonts w:ascii="Arial" w:hAnsi="Arial" w:cs="Arial"/>
          <w:noProof/>
          <w:sz w:val="22"/>
        </w:rPr>
        <w:t>: 744–58.</w:t>
      </w:r>
    </w:p>
    <w:p w14:paraId="631EE274"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49</w:t>
      </w:r>
      <w:r w:rsidRPr="009E0BAE">
        <w:rPr>
          <w:rFonts w:ascii="Arial" w:hAnsi="Arial" w:cs="Arial"/>
          <w:noProof/>
          <w:sz w:val="22"/>
        </w:rPr>
        <w:tab/>
        <w:t xml:space="preserve">Paltansing S, Vlot JA, Kraakman MEM, </w:t>
      </w:r>
      <w:r w:rsidRPr="009E0BAE">
        <w:rPr>
          <w:rFonts w:ascii="Arial" w:hAnsi="Arial" w:cs="Arial"/>
          <w:i/>
          <w:iCs/>
          <w:noProof/>
          <w:sz w:val="22"/>
        </w:rPr>
        <w:t>et al.</w:t>
      </w:r>
      <w:r w:rsidRPr="009E0BAE">
        <w:rPr>
          <w:rFonts w:ascii="Arial" w:hAnsi="Arial" w:cs="Arial"/>
          <w:noProof/>
          <w:sz w:val="22"/>
        </w:rPr>
        <w:t xml:space="preserve"> Extended-Spectrum Enterobacteriaceae among Travelers from the Netherlands. </w:t>
      </w:r>
      <w:r w:rsidRPr="009E0BAE">
        <w:rPr>
          <w:rFonts w:ascii="Arial" w:hAnsi="Arial" w:cs="Arial"/>
          <w:i/>
          <w:iCs/>
          <w:noProof/>
          <w:sz w:val="22"/>
        </w:rPr>
        <w:t>Emerg Infect Dis</w:t>
      </w:r>
      <w:r w:rsidRPr="009E0BAE">
        <w:rPr>
          <w:rFonts w:ascii="Arial" w:hAnsi="Arial" w:cs="Arial"/>
          <w:noProof/>
          <w:sz w:val="22"/>
        </w:rPr>
        <w:t xml:space="preserve"> 2014; </w:t>
      </w:r>
      <w:r w:rsidRPr="009E0BAE">
        <w:rPr>
          <w:rFonts w:ascii="Arial" w:hAnsi="Arial" w:cs="Arial"/>
          <w:b/>
          <w:bCs/>
          <w:noProof/>
          <w:sz w:val="22"/>
        </w:rPr>
        <w:t>19</w:t>
      </w:r>
      <w:r w:rsidRPr="009E0BAE">
        <w:rPr>
          <w:rFonts w:ascii="Arial" w:hAnsi="Arial" w:cs="Arial"/>
          <w:noProof/>
          <w:sz w:val="22"/>
        </w:rPr>
        <w:t>: 1206–13.</w:t>
      </w:r>
    </w:p>
    <w:p w14:paraId="32E26B43"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lastRenderedPageBreak/>
        <w:t>50</w:t>
      </w:r>
      <w:r w:rsidRPr="009E0BAE">
        <w:rPr>
          <w:rFonts w:ascii="Arial" w:hAnsi="Arial" w:cs="Arial"/>
          <w:noProof/>
          <w:sz w:val="22"/>
        </w:rPr>
        <w:tab/>
        <w:t xml:space="preserve">Munoz-Price LS, Poirel L, Bonomo RA, </w:t>
      </w:r>
      <w:r w:rsidRPr="009E0BAE">
        <w:rPr>
          <w:rFonts w:ascii="Arial" w:hAnsi="Arial" w:cs="Arial"/>
          <w:i/>
          <w:iCs/>
          <w:noProof/>
          <w:sz w:val="22"/>
        </w:rPr>
        <w:t>et al.</w:t>
      </w:r>
      <w:r w:rsidRPr="009E0BAE">
        <w:rPr>
          <w:rFonts w:ascii="Arial" w:hAnsi="Arial" w:cs="Arial"/>
          <w:noProof/>
          <w:sz w:val="22"/>
        </w:rPr>
        <w:t xml:space="preserve"> Clinical epidemiology of the global expansion of Klebsiella pneumoniae carbapenemases. </w:t>
      </w:r>
      <w:r w:rsidRPr="009E0BAE">
        <w:rPr>
          <w:rFonts w:ascii="Arial" w:hAnsi="Arial" w:cs="Arial"/>
          <w:i/>
          <w:iCs/>
          <w:noProof/>
          <w:sz w:val="22"/>
        </w:rPr>
        <w:t>Lancet Infect Dis</w:t>
      </w:r>
      <w:r w:rsidRPr="009E0BAE">
        <w:rPr>
          <w:rFonts w:ascii="Arial" w:hAnsi="Arial" w:cs="Arial"/>
          <w:noProof/>
          <w:sz w:val="22"/>
        </w:rPr>
        <w:t xml:space="preserve"> 2013; </w:t>
      </w:r>
      <w:r w:rsidRPr="009E0BAE">
        <w:rPr>
          <w:rFonts w:ascii="Arial" w:hAnsi="Arial" w:cs="Arial"/>
          <w:b/>
          <w:bCs/>
          <w:noProof/>
          <w:sz w:val="22"/>
        </w:rPr>
        <w:t>13</w:t>
      </w:r>
      <w:r w:rsidRPr="009E0BAE">
        <w:rPr>
          <w:rFonts w:ascii="Arial" w:hAnsi="Arial" w:cs="Arial"/>
          <w:noProof/>
          <w:sz w:val="22"/>
        </w:rPr>
        <w:t>: 785–96.</w:t>
      </w:r>
    </w:p>
    <w:p w14:paraId="3339AB21"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51</w:t>
      </w:r>
      <w:r w:rsidRPr="009E0BAE">
        <w:rPr>
          <w:rFonts w:ascii="Arial" w:hAnsi="Arial" w:cs="Arial"/>
          <w:noProof/>
          <w:sz w:val="22"/>
        </w:rPr>
        <w:tab/>
        <w:t xml:space="preserve">Thomas CP, Moore LSP, Elamin N, </w:t>
      </w:r>
      <w:r w:rsidRPr="009E0BAE">
        <w:rPr>
          <w:rFonts w:ascii="Arial" w:hAnsi="Arial" w:cs="Arial"/>
          <w:i/>
          <w:iCs/>
          <w:noProof/>
          <w:sz w:val="22"/>
        </w:rPr>
        <w:t>et al.</w:t>
      </w:r>
      <w:r w:rsidRPr="009E0BAE">
        <w:rPr>
          <w:rFonts w:ascii="Arial" w:hAnsi="Arial" w:cs="Arial"/>
          <w:noProof/>
          <w:sz w:val="22"/>
        </w:rPr>
        <w:t xml:space="preserve"> Early (2008–2010) hospital outbreak of Klebsiella pneumoniae producing OXA-48 carbapenemase in the UK. </w:t>
      </w:r>
      <w:r w:rsidRPr="009E0BAE">
        <w:rPr>
          <w:rFonts w:ascii="Arial" w:hAnsi="Arial" w:cs="Arial"/>
          <w:i/>
          <w:iCs/>
          <w:noProof/>
          <w:sz w:val="22"/>
        </w:rPr>
        <w:t>Int J Antimicrob Agents</w:t>
      </w:r>
      <w:r w:rsidRPr="009E0BAE">
        <w:rPr>
          <w:rFonts w:ascii="Arial" w:hAnsi="Arial" w:cs="Arial"/>
          <w:noProof/>
          <w:sz w:val="22"/>
        </w:rPr>
        <w:t xml:space="preserve"> 2013; </w:t>
      </w:r>
      <w:r w:rsidRPr="009E0BAE">
        <w:rPr>
          <w:rFonts w:ascii="Arial" w:hAnsi="Arial" w:cs="Arial"/>
          <w:b/>
          <w:bCs/>
          <w:noProof/>
          <w:sz w:val="22"/>
        </w:rPr>
        <w:t>42</w:t>
      </w:r>
      <w:r w:rsidRPr="009E0BAE">
        <w:rPr>
          <w:rFonts w:ascii="Arial" w:hAnsi="Arial" w:cs="Arial"/>
          <w:noProof/>
          <w:sz w:val="22"/>
        </w:rPr>
        <w:t>: 531–6.</w:t>
      </w:r>
    </w:p>
    <w:p w14:paraId="4666D6E5"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52</w:t>
      </w:r>
      <w:r w:rsidRPr="009E0BAE">
        <w:rPr>
          <w:rFonts w:ascii="Arial" w:hAnsi="Arial" w:cs="Arial"/>
          <w:noProof/>
          <w:sz w:val="22"/>
        </w:rPr>
        <w:tab/>
        <w:t xml:space="preserve">Cornaglia G, Giamarellou H, Rossolini GM. Metallo-β-lactamases: a last frontier for β-lactams? </w:t>
      </w:r>
      <w:r w:rsidRPr="009E0BAE">
        <w:rPr>
          <w:rFonts w:ascii="Arial" w:hAnsi="Arial" w:cs="Arial"/>
          <w:i/>
          <w:iCs/>
          <w:noProof/>
          <w:sz w:val="22"/>
        </w:rPr>
        <w:t>Lancet Infect Dis</w:t>
      </w:r>
      <w:r w:rsidRPr="009E0BAE">
        <w:rPr>
          <w:rFonts w:ascii="Arial" w:hAnsi="Arial" w:cs="Arial"/>
          <w:noProof/>
          <w:sz w:val="22"/>
        </w:rPr>
        <w:t xml:space="preserve"> 2011; </w:t>
      </w:r>
      <w:r w:rsidRPr="009E0BAE">
        <w:rPr>
          <w:rFonts w:ascii="Arial" w:hAnsi="Arial" w:cs="Arial"/>
          <w:b/>
          <w:bCs/>
          <w:noProof/>
          <w:sz w:val="22"/>
        </w:rPr>
        <w:t>11</w:t>
      </w:r>
      <w:r w:rsidRPr="009E0BAE">
        <w:rPr>
          <w:rFonts w:ascii="Arial" w:hAnsi="Arial" w:cs="Arial"/>
          <w:noProof/>
          <w:sz w:val="22"/>
        </w:rPr>
        <w:t>: 381–93.</w:t>
      </w:r>
    </w:p>
    <w:p w14:paraId="724EFB16"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53</w:t>
      </w:r>
      <w:r w:rsidRPr="009E0BAE">
        <w:rPr>
          <w:rFonts w:ascii="Arial" w:hAnsi="Arial" w:cs="Arial"/>
          <w:noProof/>
          <w:sz w:val="22"/>
        </w:rPr>
        <w:tab/>
        <w:t xml:space="preserve">Mendes RE, Deshpande LM, Jones RN. Linezolid update: Stable in vitro activity following more than a decade of clinical use and summary of associated resistance mechanisms. </w:t>
      </w:r>
      <w:r w:rsidRPr="009E0BAE">
        <w:rPr>
          <w:rFonts w:ascii="Arial" w:hAnsi="Arial" w:cs="Arial"/>
          <w:i/>
          <w:iCs/>
          <w:noProof/>
          <w:sz w:val="22"/>
        </w:rPr>
        <w:t>Drug Resist Updat</w:t>
      </w:r>
      <w:r w:rsidRPr="009E0BAE">
        <w:rPr>
          <w:rFonts w:ascii="Arial" w:hAnsi="Arial" w:cs="Arial"/>
          <w:noProof/>
          <w:sz w:val="22"/>
        </w:rPr>
        <w:t xml:space="preserve"> 2014; </w:t>
      </w:r>
      <w:r w:rsidRPr="009E0BAE">
        <w:rPr>
          <w:rFonts w:ascii="Arial" w:hAnsi="Arial" w:cs="Arial"/>
          <w:b/>
          <w:bCs/>
          <w:noProof/>
          <w:sz w:val="22"/>
        </w:rPr>
        <w:t>17</w:t>
      </w:r>
      <w:r w:rsidRPr="009E0BAE">
        <w:rPr>
          <w:rFonts w:ascii="Arial" w:hAnsi="Arial" w:cs="Arial"/>
          <w:noProof/>
          <w:sz w:val="22"/>
        </w:rPr>
        <w:t>: 1–12.</w:t>
      </w:r>
    </w:p>
    <w:p w14:paraId="5B036A69"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54</w:t>
      </w:r>
      <w:r w:rsidRPr="009E0BAE">
        <w:rPr>
          <w:rFonts w:ascii="Arial" w:hAnsi="Arial" w:cs="Arial"/>
          <w:noProof/>
          <w:sz w:val="22"/>
        </w:rPr>
        <w:tab/>
        <w:t>World Health Organization. Baseline report on global sexually transmitted infection surveillance 2012. Geneva, 2012.</w:t>
      </w:r>
    </w:p>
    <w:p w14:paraId="2D161BE2"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55</w:t>
      </w:r>
      <w:r w:rsidRPr="009E0BAE">
        <w:rPr>
          <w:rFonts w:ascii="Arial" w:hAnsi="Arial" w:cs="Arial"/>
          <w:noProof/>
          <w:sz w:val="22"/>
        </w:rPr>
        <w:tab/>
        <w:t xml:space="preserve">Kristinsson KG. Epidemiology of penicillin resistant pneumococci in Iceland. </w:t>
      </w:r>
      <w:r w:rsidRPr="009E0BAE">
        <w:rPr>
          <w:rFonts w:ascii="Arial" w:hAnsi="Arial" w:cs="Arial"/>
          <w:i/>
          <w:iCs/>
          <w:noProof/>
          <w:sz w:val="22"/>
        </w:rPr>
        <w:t>Microb Drug Resist</w:t>
      </w:r>
      <w:r w:rsidRPr="009E0BAE">
        <w:rPr>
          <w:rFonts w:ascii="Arial" w:hAnsi="Arial" w:cs="Arial"/>
          <w:noProof/>
          <w:sz w:val="22"/>
        </w:rPr>
        <w:t xml:space="preserve"> 1995; </w:t>
      </w:r>
      <w:r w:rsidRPr="009E0BAE">
        <w:rPr>
          <w:rFonts w:ascii="Arial" w:hAnsi="Arial" w:cs="Arial"/>
          <w:b/>
          <w:bCs/>
          <w:noProof/>
          <w:sz w:val="22"/>
        </w:rPr>
        <w:t>1</w:t>
      </w:r>
      <w:r w:rsidRPr="009E0BAE">
        <w:rPr>
          <w:rFonts w:ascii="Arial" w:hAnsi="Arial" w:cs="Arial"/>
          <w:noProof/>
          <w:sz w:val="22"/>
        </w:rPr>
        <w:t>: 121–5.</w:t>
      </w:r>
    </w:p>
    <w:p w14:paraId="4438697E"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56</w:t>
      </w:r>
      <w:r w:rsidRPr="009E0BAE">
        <w:rPr>
          <w:rFonts w:ascii="Arial" w:hAnsi="Arial" w:cs="Arial"/>
          <w:noProof/>
          <w:sz w:val="22"/>
        </w:rPr>
        <w:tab/>
        <w:t xml:space="preserve">Dagan R, Klugman KP. Impact of conjugate pneumococcal vaccines on antibiotic resistance. </w:t>
      </w:r>
      <w:r w:rsidRPr="009E0BAE">
        <w:rPr>
          <w:rFonts w:ascii="Arial" w:hAnsi="Arial" w:cs="Arial"/>
          <w:i/>
          <w:iCs/>
          <w:noProof/>
          <w:sz w:val="22"/>
        </w:rPr>
        <w:t>Lancet Infect Dis</w:t>
      </w:r>
      <w:r w:rsidRPr="009E0BAE">
        <w:rPr>
          <w:rFonts w:ascii="Arial" w:hAnsi="Arial" w:cs="Arial"/>
          <w:noProof/>
          <w:sz w:val="22"/>
        </w:rPr>
        <w:t xml:space="preserve"> 2008; </w:t>
      </w:r>
      <w:r w:rsidRPr="009E0BAE">
        <w:rPr>
          <w:rFonts w:ascii="Arial" w:hAnsi="Arial" w:cs="Arial"/>
          <w:b/>
          <w:bCs/>
          <w:noProof/>
          <w:sz w:val="22"/>
        </w:rPr>
        <w:t>8</w:t>
      </w:r>
      <w:r w:rsidRPr="009E0BAE">
        <w:rPr>
          <w:rFonts w:ascii="Arial" w:hAnsi="Arial" w:cs="Arial"/>
          <w:noProof/>
          <w:sz w:val="22"/>
        </w:rPr>
        <w:t>: 785–95.</w:t>
      </w:r>
    </w:p>
    <w:p w14:paraId="4333F00C"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57</w:t>
      </w:r>
      <w:r w:rsidRPr="009E0BAE">
        <w:rPr>
          <w:rFonts w:ascii="Arial" w:hAnsi="Arial" w:cs="Arial"/>
          <w:noProof/>
          <w:sz w:val="22"/>
        </w:rPr>
        <w:tab/>
        <w:t xml:space="preserve">Joice R, Lipsitch M. Targeting imperfect vaccines against drug-resistance determinants: a strategy for countering the rise of drug resistance. </w:t>
      </w:r>
      <w:r w:rsidRPr="009E0BAE">
        <w:rPr>
          <w:rFonts w:ascii="Arial" w:hAnsi="Arial" w:cs="Arial"/>
          <w:i/>
          <w:iCs/>
          <w:noProof/>
          <w:sz w:val="22"/>
        </w:rPr>
        <w:t>PLoS One</w:t>
      </w:r>
      <w:r w:rsidRPr="009E0BAE">
        <w:rPr>
          <w:rFonts w:ascii="Arial" w:hAnsi="Arial" w:cs="Arial"/>
          <w:noProof/>
          <w:sz w:val="22"/>
        </w:rPr>
        <w:t xml:space="preserve"> 2013; </w:t>
      </w:r>
      <w:r w:rsidRPr="009E0BAE">
        <w:rPr>
          <w:rFonts w:ascii="Arial" w:hAnsi="Arial" w:cs="Arial"/>
          <w:b/>
          <w:bCs/>
          <w:noProof/>
          <w:sz w:val="22"/>
        </w:rPr>
        <w:t>8</w:t>
      </w:r>
      <w:r w:rsidRPr="009E0BAE">
        <w:rPr>
          <w:rFonts w:ascii="Arial" w:hAnsi="Arial" w:cs="Arial"/>
          <w:noProof/>
          <w:sz w:val="22"/>
        </w:rPr>
        <w:t>: e68940.</w:t>
      </w:r>
    </w:p>
    <w:p w14:paraId="3A8CDE11"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58</w:t>
      </w:r>
      <w:r w:rsidRPr="009E0BAE">
        <w:rPr>
          <w:rFonts w:ascii="Arial" w:hAnsi="Arial" w:cs="Arial"/>
          <w:noProof/>
          <w:sz w:val="22"/>
        </w:rPr>
        <w:tab/>
        <w:t xml:space="preserve">Tekle YI, Nielsen KM, Liu J, </w:t>
      </w:r>
      <w:r w:rsidRPr="009E0BAE">
        <w:rPr>
          <w:rFonts w:ascii="Arial" w:hAnsi="Arial" w:cs="Arial"/>
          <w:i/>
          <w:iCs/>
          <w:noProof/>
          <w:sz w:val="22"/>
        </w:rPr>
        <w:t>et al.</w:t>
      </w:r>
      <w:r w:rsidRPr="009E0BAE">
        <w:rPr>
          <w:rFonts w:ascii="Arial" w:hAnsi="Arial" w:cs="Arial"/>
          <w:noProof/>
          <w:sz w:val="22"/>
        </w:rPr>
        <w:t xml:space="preserve"> Controlling antimicrobial resistance through targeted, vaccine-induced replacement of strains. </w:t>
      </w:r>
      <w:r w:rsidRPr="009E0BAE">
        <w:rPr>
          <w:rFonts w:ascii="Arial" w:hAnsi="Arial" w:cs="Arial"/>
          <w:i/>
          <w:iCs/>
          <w:noProof/>
          <w:sz w:val="22"/>
        </w:rPr>
        <w:t>PLoS One</w:t>
      </w:r>
      <w:r w:rsidRPr="009E0BAE">
        <w:rPr>
          <w:rFonts w:ascii="Arial" w:hAnsi="Arial" w:cs="Arial"/>
          <w:noProof/>
          <w:sz w:val="22"/>
        </w:rPr>
        <w:t xml:space="preserve"> 2012; </w:t>
      </w:r>
      <w:r w:rsidRPr="009E0BAE">
        <w:rPr>
          <w:rFonts w:ascii="Arial" w:hAnsi="Arial" w:cs="Arial"/>
          <w:b/>
          <w:bCs/>
          <w:noProof/>
          <w:sz w:val="22"/>
        </w:rPr>
        <w:t>7</w:t>
      </w:r>
      <w:r w:rsidRPr="009E0BAE">
        <w:rPr>
          <w:rFonts w:ascii="Arial" w:hAnsi="Arial" w:cs="Arial"/>
          <w:noProof/>
          <w:sz w:val="22"/>
        </w:rPr>
        <w:t>: e50688.</w:t>
      </w:r>
    </w:p>
    <w:p w14:paraId="4930069F"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59</w:t>
      </w:r>
      <w:r w:rsidRPr="009E0BAE">
        <w:rPr>
          <w:rFonts w:ascii="Arial" w:hAnsi="Arial" w:cs="Arial"/>
          <w:noProof/>
          <w:sz w:val="22"/>
        </w:rPr>
        <w:tab/>
        <w:t xml:space="preserve">Anderson ES, Lewis MJ. Drug resistance and its transfer in Salmonella typhimurium. </w:t>
      </w:r>
      <w:r w:rsidRPr="009E0BAE">
        <w:rPr>
          <w:rFonts w:ascii="Arial" w:hAnsi="Arial" w:cs="Arial"/>
          <w:i/>
          <w:iCs/>
          <w:noProof/>
          <w:sz w:val="22"/>
        </w:rPr>
        <w:t>Nature</w:t>
      </w:r>
      <w:r w:rsidRPr="009E0BAE">
        <w:rPr>
          <w:rFonts w:ascii="Arial" w:hAnsi="Arial" w:cs="Arial"/>
          <w:noProof/>
          <w:sz w:val="22"/>
        </w:rPr>
        <w:t xml:space="preserve"> 1965; </w:t>
      </w:r>
      <w:r w:rsidRPr="009E0BAE">
        <w:rPr>
          <w:rFonts w:ascii="Arial" w:hAnsi="Arial" w:cs="Arial"/>
          <w:b/>
          <w:bCs/>
          <w:noProof/>
          <w:sz w:val="22"/>
        </w:rPr>
        <w:t>206</w:t>
      </w:r>
      <w:r w:rsidRPr="009E0BAE">
        <w:rPr>
          <w:rFonts w:ascii="Arial" w:hAnsi="Arial" w:cs="Arial"/>
          <w:noProof/>
          <w:sz w:val="22"/>
        </w:rPr>
        <w:t>: 579–83.</w:t>
      </w:r>
    </w:p>
    <w:p w14:paraId="527AD070"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60</w:t>
      </w:r>
      <w:r w:rsidRPr="009E0BAE">
        <w:rPr>
          <w:rFonts w:ascii="Arial" w:hAnsi="Arial" w:cs="Arial"/>
          <w:noProof/>
          <w:sz w:val="22"/>
        </w:rPr>
        <w:tab/>
        <w:t xml:space="preserve">Mølbak K. Spread of resistant bacteria and resistance genes from animals to humans--the public health consequences. </w:t>
      </w:r>
      <w:r w:rsidRPr="009E0BAE">
        <w:rPr>
          <w:rFonts w:ascii="Arial" w:hAnsi="Arial" w:cs="Arial"/>
          <w:i/>
          <w:iCs/>
          <w:noProof/>
          <w:sz w:val="22"/>
        </w:rPr>
        <w:t>J Vet Med B Infect Dis Vet Public Health</w:t>
      </w:r>
      <w:r w:rsidRPr="009E0BAE">
        <w:rPr>
          <w:rFonts w:ascii="Arial" w:hAnsi="Arial" w:cs="Arial"/>
          <w:noProof/>
          <w:sz w:val="22"/>
        </w:rPr>
        <w:t xml:space="preserve"> 2004; </w:t>
      </w:r>
      <w:r w:rsidRPr="009E0BAE">
        <w:rPr>
          <w:rFonts w:ascii="Arial" w:hAnsi="Arial" w:cs="Arial"/>
          <w:b/>
          <w:bCs/>
          <w:noProof/>
          <w:sz w:val="22"/>
        </w:rPr>
        <w:t>51</w:t>
      </w:r>
      <w:r w:rsidRPr="009E0BAE">
        <w:rPr>
          <w:rFonts w:ascii="Arial" w:hAnsi="Arial" w:cs="Arial"/>
          <w:noProof/>
          <w:sz w:val="22"/>
        </w:rPr>
        <w:t>: 364–9.</w:t>
      </w:r>
    </w:p>
    <w:p w14:paraId="4C9B27E3"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61</w:t>
      </w:r>
      <w:r w:rsidRPr="009E0BAE">
        <w:rPr>
          <w:rFonts w:ascii="Arial" w:hAnsi="Arial" w:cs="Arial"/>
          <w:noProof/>
          <w:sz w:val="22"/>
        </w:rPr>
        <w:tab/>
        <w:t xml:space="preserve">Humphrey TJ, Jørgensen F, Frost JA, </w:t>
      </w:r>
      <w:r w:rsidRPr="009E0BAE">
        <w:rPr>
          <w:rFonts w:ascii="Arial" w:hAnsi="Arial" w:cs="Arial"/>
          <w:i/>
          <w:iCs/>
          <w:noProof/>
          <w:sz w:val="22"/>
        </w:rPr>
        <w:t>et al.</w:t>
      </w:r>
      <w:r w:rsidRPr="009E0BAE">
        <w:rPr>
          <w:rFonts w:ascii="Arial" w:hAnsi="Arial" w:cs="Arial"/>
          <w:noProof/>
          <w:sz w:val="22"/>
        </w:rPr>
        <w:t xml:space="preserve"> Prevalence and Subtypes of Ciprofloxacin-Resistant Campylobacter spp. in Commercial Poultry Flocks before, during, and after Treatment with Fluoroquinolones. </w:t>
      </w:r>
      <w:r w:rsidRPr="009E0BAE">
        <w:rPr>
          <w:rFonts w:ascii="Arial" w:hAnsi="Arial" w:cs="Arial"/>
          <w:i/>
          <w:iCs/>
          <w:noProof/>
          <w:sz w:val="22"/>
        </w:rPr>
        <w:t>Antimicrob Agents Chemother</w:t>
      </w:r>
      <w:r w:rsidRPr="009E0BAE">
        <w:rPr>
          <w:rFonts w:ascii="Arial" w:hAnsi="Arial" w:cs="Arial"/>
          <w:noProof/>
          <w:sz w:val="22"/>
        </w:rPr>
        <w:t xml:space="preserve"> 2005; </w:t>
      </w:r>
      <w:r w:rsidRPr="009E0BAE">
        <w:rPr>
          <w:rFonts w:ascii="Arial" w:hAnsi="Arial" w:cs="Arial"/>
          <w:b/>
          <w:bCs/>
          <w:noProof/>
          <w:sz w:val="22"/>
        </w:rPr>
        <w:t>49</w:t>
      </w:r>
      <w:r w:rsidRPr="009E0BAE">
        <w:rPr>
          <w:rFonts w:ascii="Arial" w:hAnsi="Arial" w:cs="Arial"/>
          <w:noProof/>
          <w:sz w:val="22"/>
        </w:rPr>
        <w:t>: 690–8.</w:t>
      </w:r>
    </w:p>
    <w:p w14:paraId="77560913"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62</w:t>
      </w:r>
      <w:r w:rsidRPr="009E0BAE">
        <w:rPr>
          <w:rFonts w:ascii="Arial" w:hAnsi="Arial" w:cs="Arial"/>
          <w:noProof/>
          <w:sz w:val="22"/>
        </w:rPr>
        <w:tab/>
        <w:t xml:space="preserve">Kruse H, Sørum H. Transfer of multiple drug resistance plasmids between bacteria of diverse origins in natural microenvironments. </w:t>
      </w:r>
      <w:r w:rsidRPr="009E0BAE">
        <w:rPr>
          <w:rFonts w:ascii="Arial" w:hAnsi="Arial" w:cs="Arial"/>
          <w:i/>
          <w:iCs/>
          <w:noProof/>
          <w:sz w:val="22"/>
        </w:rPr>
        <w:t>Appl Environ Microbiol</w:t>
      </w:r>
      <w:r w:rsidRPr="009E0BAE">
        <w:rPr>
          <w:rFonts w:ascii="Arial" w:hAnsi="Arial" w:cs="Arial"/>
          <w:noProof/>
          <w:sz w:val="22"/>
        </w:rPr>
        <w:t xml:space="preserve"> 1994; </w:t>
      </w:r>
      <w:r w:rsidRPr="009E0BAE">
        <w:rPr>
          <w:rFonts w:ascii="Arial" w:hAnsi="Arial" w:cs="Arial"/>
          <w:b/>
          <w:bCs/>
          <w:noProof/>
          <w:sz w:val="22"/>
        </w:rPr>
        <w:t>60</w:t>
      </w:r>
      <w:r w:rsidRPr="009E0BAE">
        <w:rPr>
          <w:rFonts w:ascii="Arial" w:hAnsi="Arial" w:cs="Arial"/>
          <w:noProof/>
          <w:sz w:val="22"/>
        </w:rPr>
        <w:t>: 4015–21.</w:t>
      </w:r>
    </w:p>
    <w:p w14:paraId="3AA72765"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63</w:t>
      </w:r>
      <w:r w:rsidRPr="009E0BAE">
        <w:rPr>
          <w:rFonts w:ascii="Arial" w:hAnsi="Arial" w:cs="Arial"/>
          <w:noProof/>
          <w:sz w:val="22"/>
        </w:rPr>
        <w:tab/>
        <w:t>Swann M. Report of the joint committee on the use of antibiotics in animal husbandry and veterinary medicine. London, 1969.</w:t>
      </w:r>
    </w:p>
    <w:p w14:paraId="399F3385"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64</w:t>
      </w:r>
      <w:r w:rsidRPr="009E0BAE">
        <w:rPr>
          <w:rFonts w:ascii="Arial" w:hAnsi="Arial" w:cs="Arial"/>
          <w:noProof/>
          <w:sz w:val="22"/>
        </w:rPr>
        <w:tab/>
        <w:t xml:space="preserve">Kluytmans JAJW, Overdevest ITMA, Willemsen I, </w:t>
      </w:r>
      <w:r w:rsidRPr="009E0BAE">
        <w:rPr>
          <w:rFonts w:ascii="Arial" w:hAnsi="Arial" w:cs="Arial"/>
          <w:i/>
          <w:iCs/>
          <w:noProof/>
          <w:sz w:val="22"/>
        </w:rPr>
        <w:t>et al.</w:t>
      </w:r>
      <w:r w:rsidRPr="009E0BAE">
        <w:rPr>
          <w:rFonts w:ascii="Arial" w:hAnsi="Arial" w:cs="Arial"/>
          <w:noProof/>
          <w:sz w:val="22"/>
        </w:rPr>
        <w:t xml:space="preserve"> Extended-spectrum β-lactamase-producing Escherichia coli from retail chicken meat and humans: comparison of strains, plasmids, resistance genes, and virulence factors. </w:t>
      </w:r>
      <w:r w:rsidRPr="009E0BAE">
        <w:rPr>
          <w:rFonts w:ascii="Arial" w:hAnsi="Arial" w:cs="Arial"/>
          <w:i/>
          <w:iCs/>
          <w:noProof/>
          <w:sz w:val="22"/>
        </w:rPr>
        <w:t>Clin Infect Dis</w:t>
      </w:r>
      <w:r w:rsidRPr="009E0BAE">
        <w:rPr>
          <w:rFonts w:ascii="Arial" w:hAnsi="Arial" w:cs="Arial"/>
          <w:noProof/>
          <w:sz w:val="22"/>
        </w:rPr>
        <w:t xml:space="preserve"> 2013; </w:t>
      </w:r>
      <w:r w:rsidRPr="009E0BAE">
        <w:rPr>
          <w:rFonts w:ascii="Arial" w:hAnsi="Arial" w:cs="Arial"/>
          <w:b/>
          <w:bCs/>
          <w:noProof/>
          <w:sz w:val="22"/>
        </w:rPr>
        <w:t>56</w:t>
      </w:r>
      <w:r w:rsidRPr="009E0BAE">
        <w:rPr>
          <w:rFonts w:ascii="Arial" w:hAnsi="Arial" w:cs="Arial"/>
          <w:noProof/>
          <w:sz w:val="22"/>
        </w:rPr>
        <w:t>: 478–87.</w:t>
      </w:r>
    </w:p>
    <w:p w14:paraId="2B884963"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65</w:t>
      </w:r>
      <w:r w:rsidRPr="009E0BAE">
        <w:rPr>
          <w:rFonts w:ascii="Arial" w:hAnsi="Arial" w:cs="Arial"/>
          <w:noProof/>
          <w:sz w:val="22"/>
        </w:rPr>
        <w:tab/>
        <w:t xml:space="preserve">Lebreton F, Schaik W Van, Manson A. Global spread of vancomycin-resistant Enterococcus faecium from distinct nosocomial genetic complex. </w:t>
      </w:r>
      <w:r w:rsidRPr="009E0BAE">
        <w:rPr>
          <w:rFonts w:ascii="Arial" w:hAnsi="Arial" w:cs="Arial"/>
          <w:i/>
          <w:iCs/>
          <w:noProof/>
          <w:sz w:val="22"/>
        </w:rPr>
        <w:t>MBio</w:t>
      </w:r>
      <w:r w:rsidRPr="009E0BAE">
        <w:rPr>
          <w:rFonts w:ascii="Arial" w:hAnsi="Arial" w:cs="Arial"/>
          <w:noProof/>
          <w:sz w:val="22"/>
        </w:rPr>
        <w:t xml:space="preserve"> 2013; </w:t>
      </w:r>
      <w:r w:rsidRPr="009E0BAE">
        <w:rPr>
          <w:rFonts w:ascii="Arial" w:hAnsi="Arial" w:cs="Arial"/>
          <w:b/>
          <w:bCs/>
          <w:noProof/>
          <w:sz w:val="22"/>
        </w:rPr>
        <w:t>4</w:t>
      </w:r>
      <w:r w:rsidRPr="009E0BAE">
        <w:rPr>
          <w:rFonts w:ascii="Arial" w:hAnsi="Arial" w:cs="Arial"/>
          <w:noProof/>
          <w:sz w:val="22"/>
        </w:rPr>
        <w:t>: e00534–13.</w:t>
      </w:r>
    </w:p>
    <w:p w14:paraId="26742D2A"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lastRenderedPageBreak/>
        <w:t>66</w:t>
      </w:r>
      <w:r w:rsidRPr="009E0BAE">
        <w:rPr>
          <w:rFonts w:ascii="Arial" w:hAnsi="Arial" w:cs="Arial"/>
          <w:noProof/>
          <w:sz w:val="22"/>
        </w:rPr>
        <w:tab/>
        <w:t xml:space="preserve">Price LB, Stegger M, Hasman H, </w:t>
      </w:r>
      <w:r w:rsidRPr="009E0BAE">
        <w:rPr>
          <w:rFonts w:ascii="Arial" w:hAnsi="Arial" w:cs="Arial"/>
          <w:i/>
          <w:iCs/>
          <w:noProof/>
          <w:sz w:val="22"/>
        </w:rPr>
        <w:t>et al.</w:t>
      </w:r>
      <w:r w:rsidRPr="009E0BAE">
        <w:rPr>
          <w:rFonts w:ascii="Arial" w:hAnsi="Arial" w:cs="Arial"/>
          <w:noProof/>
          <w:sz w:val="22"/>
        </w:rPr>
        <w:t xml:space="preserve"> Adaptation and Emergence of Staphylococcus aureus CC398 : Host Adaptation and Emergence of Methicillin Resistance in Livestock. </w:t>
      </w:r>
      <w:r w:rsidRPr="009E0BAE">
        <w:rPr>
          <w:rFonts w:ascii="Arial" w:hAnsi="Arial" w:cs="Arial"/>
          <w:i/>
          <w:iCs/>
          <w:noProof/>
          <w:sz w:val="22"/>
        </w:rPr>
        <w:t>MBio</w:t>
      </w:r>
      <w:r w:rsidRPr="009E0BAE">
        <w:rPr>
          <w:rFonts w:ascii="Arial" w:hAnsi="Arial" w:cs="Arial"/>
          <w:noProof/>
          <w:sz w:val="22"/>
        </w:rPr>
        <w:t xml:space="preserve"> 2012; </w:t>
      </w:r>
      <w:r w:rsidRPr="009E0BAE">
        <w:rPr>
          <w:rFonts w:ascii="Arial" w:hAnsi="Arial" w:cs="Arial"/>
          <w:b/>
          <w:bCs/>
          <w:noProof/>
          <w:sz w:val="22"/>
        </w:rPr>
        <w:t>3</w:t>
      </w:r>
      <w:r w:rsidRPr="009E0BAE">
        <w:rPr>
          <w:rFonts w:ascii="Arial" w:hAnsi="Arial" w:cs="Arial"/>
          <w:noProof/>
          <w:sz w:val="22"/>
        </w:rPr>
        <w:t>: e00305–11.</w:t>
      </w:r>
    </w:p>
    <w:p w14:paraId="51F561B3"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67</w:t>
      </w:r>
      <w:r w:rsidRPr="009E0BAE">
        <w:rPr>
          <w:rFonts w:ascii="Arial" w:hAnsi="Arial" w:cs="Arial"/>
          <w:noProof/>
          <w:sz w:val="22"/>
        </w:rPr>
        <w:tab/>
        <w:t xml:space="preserve">Casey JA, Curriero FC, Cosgrove SE, Nachman KE, Schwartz BS. High-density livestock operations, crop field application of manure, and risk of community-associated methicillin-resistant Staphylococcus aureus infection in Pennsylvania. </w:t>
      </w:r>
      <w:r w:rsidRPr="009E0BAE">
        <w:rPr>
          <w:rFonts w:ascii="Arial" w:hAnsi="Arial" w:cs="Arial"/>
          <w:i/>
          <w:iCs/>
          <w:noProof/>
          <w:sz w:val="22"/>
        </w:rPr>
        <w:t>JAMA Intern Med</w:t>
      </w:r>
      <w:r w:rsidRPr="009E0BAE">
        <w:rPr>
          <w:rFonts w:ascii="Arial" w:hAnsi="Arial" w:cs="Arial"/>
          <w:noProof/>
          <w:sz w:val="22"/>
        </w:rPr>
        <w:t xml:space="preserve"> 2013; </w:t>
      </w:r>
      <w:r w:rsidRPr="009E0BAE">
        <w:rPr>
          <w:rFonts w:ascii="Arial" w:hAnsi="Arial" w:cs="Arial"/>
          <w:b/>
          <w:bCs/>
          <w:noProof/>
          <w:sz w:val="22"/>
        </w:rPr>
        <w:t>173</w:t>
      </w:r>
      <w:r w:rsidRPr="009E0BAE">
        <w:rPr>
          <w:rFonts w:ascii="Arial" w:hAnsi="Arial" w:cs="Arial"/>
          <w:noProof/>
          <w:sz w:val="22"/>
        </w:rPr>
        <w:t>: 1980–90.</w:t>
      </w:r>
    </w:p>
    <w:p w14:paraId="4DB1E7C5"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68</w:t>
      </w:r>
      <w:r w:rsidRPr="009E0BAE">
        <w:rPr>
          <w:rFonts w:ascii="Arial" w:hAnsi="Arial" w:cs="Arial"/>
          <w:noProof/>
          <w:sz w:val="22"/>
        </w:rPr>
        <w:tab/>
        <w:t xml:space="preserve">Berg J, Tom-Petersen A, Nybroe O. Copper amendment of agricultural soil selects for bacterial antibiotic resistance in the field. </w:t>
      </w:r>
      <w:r w:rsidRPr="009E0BAE">
        <w:rPr>
          <w:rFonts w:ascii="Arial" w:hAnsi="Arial" w:cs="Arial"/>
          <w:i/>
          <w:iCs/>
          <w:noProof/>
          <w:sz w:val="22"/>
        </w:rPr>
        <w:t>Lett Appl Microbiol</w:t>
      </w:r>
      <w:r w:rsidRPr="009E0BAE">
        <w:rPr>
          <w:rFonts w:ascii="Arial" w:hAnsi="Arial" w:cs="Arial"/>
          <w:noProof/>
          <w:sz w:val="22"/>
        </w:rPr>
        <w:t xml:space="preserve"> 2005; </w:t>
      </w:r>
      <w:r w:rsidRPr="009E0BAE">
        <w:rPr>
          <w:rFonts w:ascii="Arial" w:hAnsi="Arial" w:cs="Arial"/>
          <w:b/>
          <w:bCs/>
          <w:noProof/>
          <w:sz w:val="22"/>
        </w:rPr>
        <w:t>40</w:t>
      </w:r>
      <w:r w:rsidRPr="009E0BAE">
        <w:rPr>
          <w:rFonts w:ascii="Arial" w:hAnsi="Arial" w:cs="Arial"/>
          <w:noProof/>
          <w:sz w:val="22"/>
        </w:rPr>
        <w:t>: 146–51.</w:t>
      </w:r>
    </w:p>
    <w:p w14:paraId="3D153EF1"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69</w:t>
      </w:r>
      <w:r w:rsidRPr="009E0BAE">
        <w:rPr>
          <w:rFonts w:ascii="Arial" w:hAnsi="Arial" w:cs="Arial"/>
          <w:noProof/>
          <w:sz w:val="22"/>
        </w:rPr>
        <w:tab/>
        <w:t xml:space="preserve">Knapp CW, McCluskey SM, Singh BK, Campbell CD, Hudson G, Graham DW. Antibiotic resistance gene abundances correlate with metal and geochemical conditions in archived Scottish soils. </w:t>
      </w:r>
      <w:r w:rsidRPr="009E0BAE">
        <w:rPr>
          <w:rFonts w:ascii="Arial" w:hAnsi="Arial" w:cs="Arial"/>
          <w:i/>
          <w:iCs/>
          <w:noProof/>
          <w:sz w:val="22"/>
        </w:rPr>
        <w:t>PLoS One</w:t>
      </w:r>
      <w:r w:rsidRPr="009E0BAE">
        <w:rPr>
          <w:rFonts w:ascii="Arial" w:hAnsi="Arial" w:cs="Arial"/>
          <w:noProof/>
          <w:sz w:val="22"/>
        </w:rPr>
        <w:t xml:space="preserve"> 2011; </w:t>
      </w:r>
      <w:r w:rsidRPr="009E0BAE">
        <w:rPr>
          <w:rFonts w:ascii="Arial" w:hAnsi="Arial" w:cs="Arial"/>
          <w:b/>
          <w:bCs/>
          <w:noProof/>
          <w:sz w:val="22"/>
        </w:rPr>
        <w:t>6</w:t>
      </w:r>
      <w:r w:rsidRPr="009E0BAE">
        <w:rPr>
          <w:rFonts w:ascii="Arial" w:hAnsi="Arial" w:cs="Arial"/>
          <w:noProof/>
          <w:sz w:val="22"/>
        </w:rPr>
        <w:t>: e27300.</w:t>
      </w:r>
    </w:p>
    <w:p w14:paraId="731C7D3D"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70</w:t>
      </w:r>
      <w:r w:rsidRPr="009E0BAE">
        <w:rPr>
          <w:rFonts w:ascii="Arial" w:hAnsi="Arial" w:cs="Arial"/>
          <w:noProof/>
          <w:sz w:val="22"/>
        </w:rPr>
        <w:tab/>
        <w:t xml:space="preserve">Seiler C, Berendonk TU. Heavy metal driven co-selection of antibiotic resistance in soil and water bodies impacted by agriculture and aquaculture. </w:t>
      </w:r>
      <w:r w:rsidRPr="009E0BAE">
        <w:rPr>
          <w:rFonts w:ascii="Arial" w:hAnsi="Arial" w:cs="Arial"/>
          <w:i/>
          <w:iCs/>
          <w:noProof/>
          <w:sz w:val="22"/>
        </w:rPr>
        <w:t>Front Microbiol</w:t>
      </w:r>
      <w:r w:rsidRPr="009E0BAE">
        <w:rPr>
          <w:rFonts w:ascii="Arial" w:hAnsi="Arial" w:cs="Arial"/>
          <w:noProof/>
          <w:sz w:val="22"/>
        </w:rPr>
        <w:t xml:space="preserve"> 2012; </w:t>
      </w:r>
      <w:r w:rsidRPr="009E0BAE">
        <w:rPr>
          <w:rFonts w:ascii="Arial" w:hAnsi="Arial" w:cs="Arial"/>
          <w:b/>
          <w:bCs/>
          <w:noProof/>
          <w:sz w:val="22"/>
        </w:rPr>
        <w:t>3</w:t>
      </w:r>
      <w:r w:rsidRPr="009E0BAE">
        <w:rPr>
          <w:rFonts w:ascii="Arial" w:hAnsi="Arial" w:cs="Arial"/>
          <w:noProof/>
          <w:sz w:val="22"/>
        </w:rPr>
        <w:t>: 399.</w:t>
      </w:r>
    </w:p>
    <w:p w14:paraId="26FD7743"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71</w:t>
      </w:r>
      <w:r w:rsidRPr="009E0BAE">
        <w:rPr>
          <w:rFonts w:ascii="Arial" w:hAnsi="Arial" w:cs="Arial"/>
          <w:noProof/>
          <w:sz w:val="22"/>
        </w:rPr>
        <w:tab/>
        <w:t xml:space="preserve">Kristiansson E, Fick J, Janzon A, </w:t>
      </w:r>
      <w:r w:rsidRPr="009E0BAE">
        <w:rPr>
          <w:rFonts w:ascii="Arial" w:hAnsi="Arial" w:cs="Arial"/>
          <w:i/>
          <w:iCs/>
          <w:noProof/>
          <w:sz w:val="22"/>
        </w:rPr>
        <w:t>et al.</w:t>
      </w:r>
      <w:r w:rsidRPr="009E0BAE">
        <w:rPr>
          <w:rFonts w:ascii="Arial" w:hAnsi="Arial" w:cs="Arial"/>
          <w:noProof/>
          <w:sz w:val="22"/>
        </w:rPr>
        <w:t xml:space="preserve"> Pyrosequencing of antibiotic-contaminated river sediments reveals high levels of resistance and gene transfer elements. </w:t>
      </w:r>
      <w:r w:rsidRPr="009E0BAE">
        <w:rPr>
          <w:rFonts w:ascii="Arial" w:hAnsi="Arial" w:cs="Arial"/>
          <w:i/>
          <w:iCs/>
          <w:noProof/>
          <w:sz w:val="22"/>
        </w:rPr>
        <w:t>PLoS One</w:t>
      </w:r>
      <w:r w:rsidRPr="009E0BAE">
        <w:rPr>
          <w:rFonts w:ascii="Arial" w:hAnsi="Arial" w:cs="Arial"/>
          <w:noProof/>
          <w:sz w:val="22"/>
        </w:rPr>
        <w:t xml:space="preserve"> 2011; </w:t>
      </w:r>
      <w:r w:rsidRPr="009E0BAE">
        <w:rPr>
          <w:rFonts w:ascii="Arial" w:hAnsi="Arial" w:cs="Arial"/>
          <w:b/>
          <w:bCs/>
          <w:noProof/>
          <w:sz w:val="22"/>
        </w:rPr>
        <w:t>6</w:t>
      </w:r>
      <w:r w:rsidRPr="009E0BAE">
        <w:rPr>
          <w:rFonts w:ascii="Arial" w:hAnsi="Arial" w:cs="Arial"/>
          <w:noProof/>
          <w:sz w:val="22"/>
        </w:rPr>
        <w:t>: e17038.</w:t>
      </w:r>
    </w:p>
    <w:p w14:paraId="64D5009B"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72</w:t>
      </w:r>
      <w:r w:rsidRPr="009E0BAE">
        <w:rPr>
          <w:rFonts w:ascii="Arial" w:hAnsi="Arial" w:cs="Arial"/>
          <w:noProof/>
          <w:sz w:val="22"/>
        </w:rPr>
        <w:tab/>
        <w:t xml:space="preserve">Baker S, Duy PT, Nga TVT, </w:t>
      </w:r>
      <w:r w:rsidRPr="009E0BAE">
        <w:rPr>
          <w:rFonts w:ascii="Arial" w:hAnsi="Arial" w:cs="Arial"/>
          <w:i/>
          <w:iCs/>
          <w:noProof/>
          <w:sz w:val="22"/>
        </w:rPr>
        <w:t>et al.</w:t>
      </w:r>
      <w:r w:rsidRPr="009E0BAE">
        <w:rPr>
          <w:rFonts w:ascii="Arial" w:hAnsi="Arial" w:cs="Arial"/>
          <w:noProof/>
          <w:sz w:val="22"/>
        </w:rPr>
        <w:t xml:space="preserve"> Fitness benefits in fluoroquinolone-resistant Salmonella Typhi in the absence of antimicrobial pressure. </w:t>
      </w:r>
      <w:r w:rsidRPr="009E0BAE">
        <w:rPr>
          <w:rFonts w:ascii="Arial" w:hAnsi="Arial" w:cs="Arial"/>
          <w:i/>
          <w:iCs/>
          <w:noProof/>
          <w:sz w:val="22"/>
        </w:rPr>
        <w:t>Elife</w:t>
      </w:r>
      <w:r w:rsidRPr="009E0BAE">
        <w:rPr>
          <w:rFonts w:ascii="Arial" w:hAnsi="Arial" w:cs="Arial"/>
          <w:noProof/>
          <w:sz w:val="22"/>
        </w:rPr>
        <w:t xml:space="preserve"> 2013; </w:t>
      </w:r>
      <w:r w:rsidRPr="009E0BAE">
        <w:rPr>
          <w:rFonts w:ascii="Arial" w:hAnsi="Arial" w:cs="Arial"/>
          <w:b/>
          <w:bCs/>
          <w:noProof/>
          <w:sz w:val="22"/>
        </w:rPr>
        <w:t>2</w:t>
      </w:r>
      <w:r w:rsidRPr="009E0BAE">
        <w:rPr>
          <w:rFonts w:ascii="Arial" w:hAnsi="Arial" w:cs="Arial"/>
          <w:noProof/>
          <w:sz w:val="22"/>
        </w:rPr>
        <w:t>: e01229.</w:t>
      </w:r>
    </w:p>
    <w:p w14:paraId="5A852E25"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73</w:t>
      </w:r>
      <w:r w:rsidRPr="009E0BAE">
        <w:rPr>
          <w:rFonts w:ascii="Arial" w:hAnsi="Arial" w:cs="Arial"/>
          <w:noProof/>
          <w:sz w:val="22"/>
        </w:rPr>
        <w:tab/>
        <w:t xml:space="preserve">Holden MTG, Hsu L-Y, Kurt K, </w:t>
      </w:r>
      <w:r w:rsidRPr="009E0BAE">
        <w:rPr>
          <w:rFonts w:ascii="Arial" w:hAnsi="Arial" w:cs="Arial"/>
          <w:i/>
          <w:iCs/>
          <w:noProof/>
          <w:sz w:val="22"/>
        </w:rPr>
        <w:t>et al.</w:t>
      </w:r>
      <w:r w:rsidRPr="009E0BAE">
        <w:rPr>
          <w:rFonts w:ascii="Arial" w:hAnsi="Arial" w:cs="Arial"/>
          <w:noProof/>
          <w:sz w:val="22"/>
        </w:rPr>
        <w:t xml:space="preserve"> A genomic portrait of the emergence, evolution, and global spread of a methicillin-resistant Staphylococcus aureus pandemic. </w:t>
      </w:r>
      <w:r w:rsidRPr="009E0BAE">
        <w:rPr>
          <w:rFonts w:ascii="Arial" w:hAnsi="Arial" w:cs="Arial"/>
          <w:i/>
          <w:iCs/>
          <w:noProof/>
          <w:sz w:val="22"/>
        </w:rPr>
        <w:t>Genome Res</w:t>
      </w:r>
      <w:r w:rsidRPr="009E0BAE">
        <w:rPr>
          <w:rFonts w:ascii="Arial" w:hAnsi="Arial" w:cs="Arial"/>
          <w:noProof/>
          <w:sz w:val="22"/>
        </w:rPr>
        <w:t xml:space="preserve"> 2013; </w:t>
      </w:r>
      <w:r w:rsidRPr="009E0BAE">
        <w:rPr>
          <w:rFonts w:ascii="Arial" w:hAnsi="Arial" w:cs="Arial"/>
          <w:b/>
          <w:bCs/>
          <w:noProof/>
          <w:sz w:val="22"/>
        </w:rPr>
        <w:t>23</w:t>
      </w:r>
      <w:r w:rsidRPr="009E0BAE">
        <w:rPr>
          <w:rFonts w:ascii="Arial" w:hAnsi="Arial" w:cs="Arial"/>
          <w:noProof/>
          <w:sz w:val="22"/>
        </w:rPr>
        <w:t>: 653–64.</w:t>
      </w:r>
    </w:p>
    <w:p w14:paraId="42483A9A"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74</w:t>
      </w:r>
      <w:r w:rsidRPr="009E0BAE">
        <w:rPr>
          <w:rFonts w:ascii="Arial" w:hAnsi="Arial" w:cs="Arial"/>
          <w:noProof/>
          <w:sz w:val="22"/>
        </w:rPr>
        <w:tab/>
        <w:t xml:space="preserve">He M, Miyajima F, Roberts P, </w:t>
      </w:r>
      <w:r w:rsidRPr="009E0BAE">
        <w:rPr>
          <w:rFonts w:ascii="Arial" w:hAnsi="Arial" w:cs="Arial"/>
          <w:i/>
          <w:iCs/>
          <w:noProof/>
          <w:sz w:val="22"/>
        </w:rPr>
        <w:t>et al.</w:t>
      </w:r>
      <w:r w:rsidRPr="009E0BAE">
        <w:rPr>
          <w:rFonts w:ascii="Arial" w:hAnsi="Arial" w:cs="Arial"/>
          <w:noProof/>
          <w:sz w:val="22"/>
        </w:rPr>
        <w:t xml:space="preserve"> Emergence and global spread of epidemic healthcare-associated Clostridium difficile. </w:t>
      </w:r>
      <w:r w:rsidRPr="009E0BAE">
        <w:rPr>
          <w:rFonts w:ascii="Arial" w:hAnsi="Arial" w:cs="Arial"/>
          <w:i/>
          <w:iCs/>
          <w:noProof/>
          <w:sz w:val="22"/>
        </w:rPr>
        <w:t>Nat Genet</w:t>
      </w:r>
      <w:r w:rsidRPr="009E0BAE">
        <w:rPr>
          <w:rFonts w:ascii="Arial" w:hAnsi="Arial" w:cs="Arial"/>
          <w:noProof/>
          <w:sz w:val="22"/>
        </w:rPr>
        <w:t xml:space="preserve"> 2013; </w:t>
      </w:r>
      <w:r w:rsidRPr="009E0BAE">
        <w:rPr>
          <w:rFonts w:ascii="Arial" w:hAnsi="Arial" w:cs="Arial"/>
          <w:b/>
          <w:bCs/>
          <w:noProof/>
          <w:sz w:val="22"/>
        </w:rPr>
        <w:t>45</w:t>
      </w:r>
      <w:r w:rsidRPr="009E0BAE">
        <w:rPr>
          <w:rFonts w:ascii="Arial" w:hAnsi="Arial" w:cs="Arial"/>
          <w:noProof/>
          <w:sz w:val="22"/>
        </w:rPr>
        <w:t>: 109–13.</w:t>
      </w:r>
    </w:p>
    <w:p w14:paraId="67FCF4C5"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75</w:t>
      </w:r>
      <w:r w:rsidRPr="009E0BAE">
        <w:rPr>
          <w:rFonts w:ascii="Arial" w:hAnsi="Arial" w:cs="Arial"/>
          <w:noProof/>
          <w:sz w:val="22"/>
        </w:rPr>
        <w:tab/>
        <w:t xml:space="preserve">Guo S, Brouwers HJM, Cobbold RN, </w:t>
      </w:r>
      <w:r w:rsidRPr="009E0BAE">
        <w:rPr>
          <w:rFonts w:ascii="Arial" w:hAnsi="Arial" w:cs="Arial"/>
          <w:i/>
          <w:iCs/>
          <w:noProof/>
          <w:sz w:val="22"/>
        </w:rPr>
        <w:t>et al.</w:t>
      </w:r>
      <w:r w:rsidRPr="009E0BAE">
        <w:rPr>
          <w:rFonts w:ascii="Arial" w:hAnsi="Arial" w:cs="Arial"/>
          <w:noProof/>
          <w:sz w:val="22"/>
        </w:rPr>
        <w:t xml:space="preserve"> Fluoroquinolone-resistant extraintestinal pathogenic Escherichia coli, including O25b-ST131, isolated from faeces of hospitalized dogs in an Australian veterinary referral centre. </w:t>
      </w:r>
      <w:r w:rsidRPr="009E0BAE">
        <w:rPr>
          <w:rFonts w:ascii="Arial" w:hAnsi="Arial" w:cs="Arial"/>
          <w:i/>
          <w:iCs/>
          <w:noProof/>
          <w:sz w:val="22"/>
        </w:rPr>
        <w:t>J Antimicrob Chemother</w:t>
      </w:r>
      <w:r w:rsidRPr="009E0BAE">
        <w:rPr>
          <w:rFonts w:ascii="Arial" w:hAnsi="Arial" w:cs="Arial"/>
          <w:noProof/>
          <w:sz w:val="22"/>
        </w:rPr>
        <w:t xml:space="preserve"> 2013; </w:t>
      </w:r>
      <w:r w:rsidRPr="009E0BAE">
        <w:rPr>
          <w:rFonts w:ascii="Arial" w:hAnsi="Arial" w:cs="Arial"/>
          <w:b/>
          <w:bCs/>
          <w:noProof/>
          <w:sz w:val="22"/>
        </w:rPr>
        <w:t>68</w:t>
      </w:r>
      <w:r w:rsidRPr="009E0BAE">
        <w:rPr>
          <w:rFonts w:ascii="Arial" w:hAnsi="Arial" w:cs="Arial"/>
          <w:noProof/>
          <w:sz w:val="22"/>
        </w:rPr>
        <w:t>: 1025–31.</w:t>
      </w:r>
    </w:p>
    <w:p w14:paraId="6E4706B3"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76</w:t>
      </w:r>
      <w:r w:rsidRPr="009E0BAE">
        <w:rPr>
          <w:rFonts w:ascii="Arial" w:hAnsi="Arial" w:cs="Arial"/>
          <w:noProof/>
          <w:sz w:val="22"/>
        </w:rPr>
        <w:tab/>
        <w:t xml:space="preserve">Dillon J-AR, Parti RP. Fluoroquinolone resistance in Neisseria gonorrhoeae: fitness cost or benefit? </w:t>
      </w:r>
      <w:r w:rsidRPr="009E0BAE">
        <w:rPr>
          <w:rFonts w:ascii="Arial" w:hAnsi="Arial" w:cs="Arial"/>
          <w:i/>
          <w:iCs/>
          <w:noProof/>
          <w:sz w:val="22"/>
        </w:rPr>
        <w:t>J Infect Dis</w:t>
      </w:r>
      <w:r w:rsidRPr="009E0BAE">
        <w:rPr>
          <w:rFonts w:ascii="Arial" w:hAnsi="Arial" w:cs="Arial"/>
          <w:noProof/>
          <w:sz w:val="22"/>
        </w:rPr>
        <w:t xml:space="preserve"> 2012; </w:t>
      </w:r>
      <w:r w:rsidRPr="009E0BAE">
        <w:rPr>
          <w:rFonts w:ascii="Arial" w:hAnsi="Arial" w:cs="Arial"/>
          <w:b/>
          <w:bCs/>
          <w:noProof/>
          <w:sz w:val="22"/>
        </w:rPr>
        <w:t>205</w:t>
      </w:r>
      <w:r w:rsidRPr="009E0BAE">
        <w:rPr>
          <w:rFonts w:ascii="Arial" w:hAnsi="Arial" w:cs="Arial"/>
          <w:noProof/>
          <w:sz w:val="22"/>
        </w:rPr>
        <w:t>: 1775–7.</w:t>
      </w:r>
    </w:p>
    <w:p w14:paraId="35D8F8C4"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77</w:t>
      </w:r>
      <w:r w:rsidRPr="009E0BAE">
        <w:rPr>
          <w:rFonts w:ascii="Arial" w:hAnsi="Arial" w:cs="Arial"/>
          <w:noProof/>
          <w:sz w:val="22"/>
        </w:rPr>
        <w:tab/>
        <w:t xml:space="preserve">Marcusson LL, Frimodt-Møller N, Hughes D. Interplay in the selection of fluoroquinolone resistance and bacterial fitness. </w:t>
      </w:r>
      <w:r w:rsidRPr="009E0BAE">
        <w:rPr>
          <w:rFonts w:ascii="Arial" w:hAnsi="Arial" w:cs="Arial"/>
          <w:i/>
          <w:iCs/>
          <w:noProof/>
          <w:sz w:val="22"/>
        </w:rPr>
        <w:t>PLoS Pathog</w:t>
      </w:r>
      <w:r w:rsidRPr="009E0BAE">
        <w:rPr>
          <w:rFonts w:ascii="Arial" w:hAnsi="Arial" w:cs="Arial"/>
          <w:noProof/>
          <w:sz w:val="22"/>
        </w:rPr>
        <w:t xml:space="preserve"> 2009; </w:t>
      </w:r>
      <w:r w:rsidRPr="009E0BAE">
        <w:rPr>
          <w:rFonts w:ascii="Arial" w:hAnsi="Arial" w:cs="Arial"/>
          <w:b/>
          <w:bCs/>
          <w:noProof/>
          <w:sz w:val="22"/>
        </w:rPr>
        <w:t>5</w:t>
      </w:r>
      <w:r w:rsidRPr="009E0BAE">
        <w:rPr>
          <w:rFonts w:ascii="Arial" w:hAnsi="Arial" w:cs="Arial"/>
          <w:noProof/>
          <w:sz w:val="22"/>
        </w:rPr>
        <w:t>: e1000541.</w:t>
      </w:r>
    </w:p>
    <w:p w14:paraId="5FCC34B8"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78</w:t>
      </w:r>
      <w:r w:rsidRPr="009E0BAE">
        <w:rPr>
          <w:rFonts w:ascii="Arial" w:hAnsi="Arial" w:cs="Arial"/>
          <w:noProof/>
          <w:sz w:val="22"/>
        </w:rPr>
        <w:tab/>
        <w:t xml:space="preserve">Paytubi S, Aznar S, Madrid C, </w:t>
      </w:r>
      <w:r w:rsidRPr="009E0BAE">
        <w:rPr>
          <w:rFonts w:ascii="Arial" w:hAnsi="Arial" w:cs="Arial"/>
          <w:i/>
          <w:iCs/>
          <w:noProof/>
          <w:sz w:val="22"/>
        </w:rPr>
        <w:t>et al.</w:t>
      </w:r>
      <w:r w:rsidRPr="009E0BAE">
        <w:rPr>
          <w:rFonts w:ascii="Arial" w:hAnsi="Arial" w:cs="Arial"/>
          <w:noProof/>
          <w:sz w:val="22"/>
        </w:rPr>
        <w:t xml:space="preserve"> A novel role for antibiotic resistance plasmids in facilitating Salmonella adaptation to non-host environments. </w:t>
      </w:r>
      <w:r w:rsidRPr="009E0BAE">
        <w:rPr>
          <w:rFonts w:ascii="Arial" w:hAnsi="Arial" w:cs="Arial"/>
          <w:i/>
          <w:iCs/>
          <w:noProof/>
          <w:sz w:val="22"/>
        </w:rPr>
        <w:t>Environ Microbiol</w:t>
      </w:r>
      <w:r w:rsidRPr="009E0BAE">
        <w:rPr>
          <w:rFonts w:ascii="Arial" w:hAnsi="Arial" w:cs="Arial"/>
          <w:noProof/>
          <w:sz w:val="22"/>
        </w:rPr>
        <w:t xml:space="preserve"> 2013; : [ePub ahead of print].</w:t>
      </w:r>
    </w:p>
    <w:p w14:paraId="380F558E"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79</w:t>
      </w:r>
      <w:r w:rsidRPr="009E0BAE">
        <w:rPr>
          <w:rFonts w:ascii="Arial" w:hAnsi="Arial" w:cs="Arial"/>
          <w:noProof/>
          <w:sz w:val="22"/>
        </w:rPr>
        <w:tab/>
        <w:t xml:space="preserve">Dhanji H, Khan P, Cottell JL, </w:t>
      </w:r>
      <w:r w:rsidRPr="009E0BAE">
        <w:rPr>
          <w:rFonts w:ascii="Arial" w:hAnsi="Arial" w:cs="Arial"/>
          <w:i/>
          <w:iCs/>
          <w:noProof/>
          <w:sz w:val="22"/>
        </w:rPr>
        <w:t>et al.</w:t>
      </w:r>
      <w:r w:rsidRPr="009E0BAE">
        <w:rPr>
          <w:rFonts w:ascii="Arial" w:hAnsi="Arial" w:cs="Arial"/>
          <w:noProof/>
          <w:sz w:val="22"/>
        </w:rPr>
        <w:t xml:space="preserve"> Dissemination of pCT-like IncK plasmids harboring CTX-M-14 extended-spectrum β-lactamase among clinical Escherichia coli isolates in the United Kingdom. </w:t>
      </w:r>
      <w:r w:rsidRPr="009E0BAE">
        <w:rPr>
          <w:rFonts w:ascii="Arial" w:hAnsi="Arial" w:cs="Arial"/>
          <w:i/>
          <w:iCs/>
          <w:noProof/>
          <w:sz w:val="22"/>
        </w:rPr>
        <w:t>Antimicrob Agents Chemother</w:t>
      </w:r>
      <w:r w:rsidRPr="009E0BAE">
        <w:rPr>
          <w:rFonts w:ascii="Arial" w:hAnsi="Arial" w:cs="Arial"/>
          <w:noProof/>
          <w:sz w:val="22"/>
        </w:rPr>
        <w:t xml:space="preserve"> 2012; </w:t>
      </w:r>
      <w:r w:rsidRPr="009E0BAE">
        <w:rPr>
          <w:rFonts w:ascii="Arial" w:hAnsi="Arial" w:cs="Arial"/>
          <w:b/>
          <w:bCs/>
          <w:noProof/>
          <w:sz w:val="22"/>
        </w:rPr>
        <w:t>56</w:t>
      </w:r>
      <w:r w:rsidRPr="009E0BAE">
        <w:rPr>
          <w:rFonts w:ascii="Arial" w:hAnsi="Arial" w:cs="Arial"/>
          <w:noProof/>
          <w:sz w:val="22"/>
        </w:rPr>
        <w:t>: 3376–7.</w:t>
      </w:r>
    </w:p>
    <w:p w14:paraId="3F51F2D7"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80</w:t>
      </w:r>
      <w:r w:rsidRPr="009E0BAE">
        <w:rPr>
          <w:rFonts w:ascii="Arial" w:hAnsi="Arial" w:cs="Arial"/>
          <w:noProof/>
          <w:sz w:val="22"/>
        </w:rPr>
        <w:tab/>
        <w:t xml:space="preserve">Cottell JL, Webber MA, Piddock LJ V. Persistence of transferable extended-spectrum-β-lactamase resistance in the absence of antibiotic pressure. </w:t>
      </w:r>
      <w:r w:rsidRPr="009E0BAE">
        <w:rPr>
          <w:rFonts w:ascii="Arial" w:hAnsi="Arial" w:cs="Arial"/>
          <w:i/>
          <w:iCs/>
          <w:noProof/>
          <w:sz w:val="22"/>
        </w:rPr>
        <w:t>Antimicrob Agents Chemother</w:t>
      </w:r>
      <w:r w:rsidRPr="009E0BAE">
        <w:rPr>
          <w:rFonts w:ascii="Arial" w:hAnsi="Arial" w:cs="Arial"/>
          <w:noProof/>
          <w:sz w:val="22"/>
        </w:rPr>
        <w:t xml:space="preserve"> 2012; </w:t>
      </w:r>
      <w:r w:rsidRPr="009E0BAE">
        <w:rPr>
          <w:rFonts w:ascii="Arial" w:hAnsi="Arial" w:cs="Arial"/>
          <w:b/>
          <w:bCs/>
          <w:noProof/>
          <w:sz w:val="22"/>
        </w:rPr>
        <w:t>56</w:t>
      </w:r>
      <w:r w:rsidRPr="009E0BAE">
        <w:rPr>
          <w:rFonts w:ascii="Arial" w:hAnsi="Arial" w:cs="Arial"/>
          <w:noProof/>
          <w:sz w:val="22"/>
        </w:rPr>
        <w:t>: 4703–6.</w:t>
      </w:r>
    </w:p>
    <w:p w14:paraId="45DDFC2B"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81</w:t>
      </w:r>
      <w:r w:rsidRPr="009E0BAE">
        <w:rPr>
          <w:rFonts w:ascii="Arial" w:hAnsi="Arial" w:cs="Arial"/>
          <w:noProof/>
          <w:sz w:val="22"/>
        </w:rPr>
        <w:tab/>
        <w:t xml:space="preserve">Andersson DI, Hughes D. Persistence of antibiotic resistance in bacterial populations. </w:t>
      </w:r>
      <w:r w:rsidRPr="009E0BAE">
        <w:rPr>
          <w:rFonts w:ascii="Arial" w:hAnsi="Arial" w:cs="Arial"/>
          <w:i/>
          <w:iCs/>
          <w:noProof/>
          <w:sz w:val="22"/>
        </w:rPr>
        <w:t>FEMS Microbiol Rev</w:t>
      </w:r>
      <w:r w:rsidRPr="009E0BAE">
        <w:rPr>
          <w:rFonts w:ascii="Arial" w:hAnsi="Arial" w:cs="Arial"/>
          <w:noProof/>
          <w:sz w:val="22"/>
        </w:rPr>
        <w:t xml:space="preserve"> 2011; </w:t>
      </w:r>
      <w:r w:rsidRPr="009E0BAE">
        <w:rPr>
          <w:rFonts w:ascii="Arial" w:hAnsi="Arial" w:cs="Arial"/>
          <w:b/>
          <w:bCs/>
          <w:noProof/>
          <w:sz w:val="22"/>
        </w:rPr>
        <w:t>35</w:t>
      </w:r>
      <w:r w:rsidRPr="009E0BAE">
        <w:rPr>
          <w:rFonts w:ascii="Arial" w:hAnsi="Arial" w:cs="Arial"/>
          <w:noProof/>
          <w:sz w:val="22"/>
        </w:rPr>
        <w:t>: 901–11.</w:t>
      </w:r>
    </w:p>
    <w:p w14:paraId="701FE432"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lastRenderedPageBreak/>
        <w:t>82</w:t>
      </w:r>
      <w:r w:rsidRPr="009E0BAE">
        <w:rPr>
          <w:rFonts w:ascii="Arial" w:hAnsi="Arial" w:cs="Arial"/>
          <w:noProof/>
          <w:sz w:val="22"/>
        </w:rPr>
        <w:tab/>
        <w:t xml:space="preserve">Temime L, Hejblum G, Setbon M, Valleron AJ. The rising impact of mathematical modelling in epidemiology: antibiotic resistance research as a case study. </w:t>
      </w:r>
      <w:r w:rsidRPr="009E0BAE">
        <w:rPr>
          <w:rFonts w:ascii="Arial" w:hAnsi="Arial" w:cs="Arial"/>
          <w:i/>
          <w:iCs/>
          <w:noProof/>
          <w:sz w:val="22"/>
        </w:rPr>
        <w:t>Epidemiol Infect</w:t>
      </w:r>
      <w:r w:rsidRPr="009E0BAE">
        <w:rPr>
          <w:rFonts w:ascii="Arial" w:hAnsi="Arial" w:cs="Arial"/>
          <w:noProof/>
          <w:sz w:val="22"/>
        </w:rPr>
        <w:t xml:space="preserve"> 2008; </w:t>
      </w:r>
      <w:r w:rsidRPr="009E0BAE">
        <w:rPr>
          <w:rFonts w:ascii="Arial" w:hAnsi="Arial" w:cs="Arial"/>
          <w:b/>
          <w:bCs/>
          <w:noProof/>
          <w:sz w:val="22"/>
        </w:rPr>
        <w:t>136</w:t>
      </w:r>
      <w:r w:rsidRPr="009E0BAE">
        <w:rPr>
          <w:rFonts w:ascii="Arial" w:hAnsi="Arial" w:cs="Arial"/>
          <w:noProof/>
          <w:sz w:val="22"/>
        </w:rPr>
        <w:t>: 289–98.</w:t>
      </w:r>
    </w:p>
    <w:p w14:paraId="1282458F"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83</w:t>
      </w:r>
      <w:r w:rsidRPr="009E0BAE">
        <w:rPr>
          <w:rFonts w:ascii="Arial" w:hAnsi="Arial" w:cs="Arial"/>
          <w:noProof/>
          <w:sz w:val="22"/>
        </w:rPr>
        <w:tab/>
        <w:t xml:space="preserve">Costelloe C, Metcalfe C, Lovering A, Mant D, Hay AD. Effect of antibiotic prescribing in primary care on antimicrobial resistance in individual patients: systematic review and meta-analysis. </w:t>
      </w:r>
      <w:r w:rsidRPr="009E0BAE">
        <w:rPr>
          <w:rFonts w:ascii="Arial" w:hAnsi="Arial" w:cs="Arial"/>
          <w:i/>
          <w:iCs/>
          <w:noProof/>
          <w:sz w:val="22"/>
        </w:rPr>
        <w:t>Br Med J</w:t>
      </w:r>
      <w:r w:rsidRPr="009E0BAE">
        <w:rPr>
          <w:rFonts w:ascii="Arial" w:hAnsi="Arial" w:cs="Arial"/>
          <w:noProof/>
          <w:sz w:val="22"/>
        </w:rPr>
        <w:t xml:space="preserve"> 2010; </w:t>
      </w:r>
      <w:r w:rsidRPr="009E0BAE">
        <w:rPr>
          <w:rFonts w:ascii="Arial" w:hAnsi="Arial" w:cs="Arial"/>
          <w:b/>
          <w:bCs/>
          <w:noProof/>
          <w:sz w:val="22"/>
        </w:rPr>
        <w:t>340</w:t>
      </w:r>
      <w:r w:rsidRPr="009E0BAE">
        <w:rPr>
          <w:rFonts w:ascii="Arial" w:hAnsi="Arial" w:cs="Arial"/>
          <w:noProof/>
          <w:sz w:val="22"/>
        </w:rPr>
        <w:t>: c2096.</w:t>
      </w:r>
    </w:p>
    <w:p w14:paraId="2AB327F0"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84</w:t>
      </w:r>
      <w:r w:rsidRPr="009E0BAE">
        <w:rPr>
          <w:rFonts w:ascii="Arial" w:hAnsi="Arial" w:cs="Arial"/>
          <w:noProof/>
          <w:sz w:val="22"/>
        </w:rPr>
        <w:tab/>
        <w:t xml:space="preserve">Goossens H, Ferech M, Vander Stichele R, Elseviers M. Outpatient antibiotic use in Europe and association with resistance: a cross-national database study. </w:t>
      </w:r>
      <w:r w:rsidRPr="009E0BAE">
        <w:rPr>
          <w:rFonts w:ascii="Arial" w:hAnsi="Arial" w:cs="Arial"/>
          <w:i/>
          <w:iCs/>
          <w:noProof/>
          <w:sz w:val="22"/>
        </w:rPr>
        <w:t>Lancet</w:t>
      </w:r>
      <w:r w:rsidRPr="009E0BAE">
        <w:rPr>
          <w:rFonts w:ascii="Arial" w:hAnsi="Arial" w:cs="Arial"/>
          <w:noProof/>
          <w:sz w:val="22"/>
        </w:rPr>
        <w:t xml:space="preserve"> 2005; </w:t>
      </w:r>
      <w:r w:rsidRPr="009E0BAE">
        <w:rPr>
          <w:rFonts w:ascii="Arial" w:hAnsi="Arial" w:cs="Arial"/>
          <w:b/>
          <w:bCs/>
          <w:noProof/>
          <w:sz w:val="22"/>
        </w:rPr>
        <w:t>365</w:t>
      </w:r>
      <w:r w:rsidRPr="009E0BAE">
        <w:rPr>
          <w:rFonts w:ascii="Arial" w:hAnsi="Arial" w:cs="Arial"/>
          <w:noProof/>
          <w:sz w:val="22"/>
        </w:rPr>
        <w:t>: 579–87.</w:t>
      </w:r>
    </w:p>
    <w:p w14:paraId="360FE360"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85</w:t>
      </w:r>
      <w:r w:rsidRPr="009E0BAE">
        <w:rPr>
          <w:rFonts w:ascii="Arial" w:hAnsi="Arial" w:cs="Arial"/>
          <w:noProof/>
          <w:sz w:val="22"/>
        </w:rPr>
        <w:tab/>
        <w:t xml:space="preserve">Johnsen PJ, Townsend JP, Bøhn T, Simonsen GS, Sundsfjord A, Nielsen KM. Factors affecting the reversal of antimicrobial-drug resistance. </w:t>
      </w:r>
      <w:r w:rsidRPr="009E0BAE">
        <w:rPr>
          <w:rFonts w:ascii="Arial" w:hAnsi="Arial" w:cs="Arial"/>
          <w:i/>
          <w:iCs/>
          <w:noProof/>
          <w:sz w:val="22"/>
        </w:rPr>
        <w:t>Lancet Infect Dis</w:t>
      </w:r>
      <w:r w:rsidRPr="009E0BAE">
        <w:rPr>
          <w:rFonts w:ascii="Arial" w:hAnsi="Arial" w:cs="Arial"/>
          <w:noProof/>
          <w:sz w:val="22"/>
        </w:rPr>
        <w:t xml:space="preserve"> 2009; </w:t>
      </w:r>
      <w:r w:rsidRPr="009E0BAE">
        <w:rPr>
          <w:rFonts w:ascii="Arial" w:hAnsi="Arial" w:cs="Arial"/>
          <w:b/>
          <w:bCs/>
          <w:noProof/>
          <w:sz w:val="22"/>
        </w:rPr>
        <w:t>9</w:t>
      </w:r>
      <w:r w:rsidRPr="009E0BAE">
        <w:rPr>
          <w:rFonts w:ascii="Arial" w:hAnsi="Arial" w:cs="Arial"/>
          <w:noProof/>
          <w:sz w:val="22"/>
        </w:rPr>
        <w:t>: 357–64.</w:t>
      </w:r>
    </w:p>
    <w:p w14:paraId="1A92B4C4"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86</w:t>
      </w:r>
      <w:r w:rsidRPr="009E0BAE">
        <w:rPr>
          <w:rFonts w:ascii="Arial" w:hAnsi="Arial" w:cs="Arial"/>
          <w:noProof/>
          <w:sz w:val="22"/>
        </w:rPr>
        <w:tab/>
        <w:t xml:space="preserve">Sjolund M, Wreiber K, Andersson DI, Blaser MJ, Engstrand L. Long-Term Persistence of Resistant Enterococcus Species after Antibiotics To Eradicate Helicobacter pylori. </w:t>
      </w:r>
      <w:r w:rsidRPr="009E0BAE">
        <w:rPr>
          <w:rFonts w:ascii="Arial" w:hAnsi="Arial" w:cs="Arial"/>
          <w:i/>
          <w:iCs/>
          <w:noProof/>
          <w:sz w:val="22"/>
        </w:rPr>
        <w:t>Annu Intern Med</w:t>
      </w:r>
      <w:r w:rsidRPr="009E0BAE">
        <w:rPr>
          <w:rFonts w:ascii="Arial" w:hAnsi="Arial" w:cs="Arial"/>
          <w:noProof/>
          <w:sz w:val="22"/>
        </w:rPr>
        <w:t xml:space="preserve"> 2014; </w:t>
      </w:r>
      <w:r w:rsidRPr="009E0BAE">
        <w:rPr>
          <w:rFonts w:ascii="Arial" w:hAnsi="Arial" w:cs="Arial"/>
          <w:b/>
          <w:bCs/>
          <w:noProof/>
          <w:sz w:val="22"/>
        </w:rPr>
        <w:t>139</w:t>
      </w:r>
      <w:r w:rsidRPr="009E0BAE">
        <w:rPr>
          <w:rFonts w:ascii="Arial" w:hAnsi="Arial" w:cs="Arial"/>
          <w:noProof/>
          <w:sz w:val="22"/>
        </w:rPr>
        <w:t>: 483–8.</w:t>
      </w:r>
    </w:p>
    <w:p w14:paraId="092D8358"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87</w:t>
      </w:r>
      <w:r w:rsidRPr="009E0BAE">
        <w:rPr>
          <w:rFonts w:ascii="Arial" w:hAnsi="Arial" w:cs="Arial"/>
          <w:noProof/>
          <w:sz w:val="22"/>
        </w:rPr>
        <w:tab/>
        <w:t>Department of Health, Department for Environment Food and Rural Affairs. UK Five Year Antimicrobial Resistance Strategy 2013 to 2018. London, 2013 https://www.gov.uk/government/uploads/system/uploads/ attachment_data/fi le/244058/20130902_UK_5_year_AMR_strategy.pdf.</w:t>
      </w:r>
    </w:p>
    <w:p w14:paraId="32148D07"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88</w:t>
      </w:r>
      <w:r w:rsidRPr="009E0BAE">
        <w:rPr>
          <w:rFonts w:ascii="Arial" w:hAnsi="Arial" w:cs="Arial"/>
          <w:noProof/>
          <w:sz w:val="22"/>
        </w:rPr>
        <w:tab/>
        <w:t>World Health Organization. Strategic and Technical Advisory Group on Antimicrobial Resistance. Report of the first meeting Geneva, 19-20 September 2013. Geneva, 2013.</w:t>
      </w:r>
    </w:p>
    <w:p w14:paraId="59731903"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89</w:t>
      </w:r>
      <w:r w:rsidRPr="009E0BAE">
        <w:rPr>
          <w:rFonts w:ascii="Arial" w:hAnsi="Arial" w:cs="Arial"/>
          <w:noProof/>
          <w:sz w:val="22"/>
        </w:rPr>
        <w:tab/>
        <w:t xml:space="preserve">Zur Wiesch PA, Kouyos R, Engelstädter J, Regoes RR, Bonhoeffer S. Population biological principles of drug-resistance evolution in infectious diseases. </w:t>
      </w:r>
      <w:r w:rsidRPr="009E0BAE">
        <w:rPr>
          <w:rFonts w:ascii="Arial" w:hAnsi="Arial" w:cs="Arial"/>
          <w:i/>
          <w:iCs/>
          <w:noProof/>
          <w:sz w:val="22"/>
        </w:rPr>
        <w:t>Lancet Infect Dis</w:t>
      </w:r>
      <w:r w:rsidRPr="009E0BAE">
        <w:rPr>
          <w:rFonts w:ascii="Arial" w:hAnsi="Arial" w:cs="Arial"/>
          <w:noProof/>
          <w:sz w:val="22"/>
        </w:rPr>
        <w:t xml:space="preserve"> 2011; </w:t>
      </w:r>
      <w:r w:rsidRPr="009E0BAE">
        <w:rPr>
          <w:rFonts w:ascii="Arial" w:hAnsi="Arial" w:cs="Arial"/>
          <w:b/>
          <w:bCs/>
          <w:noProof/>
          <w:sz w:val="22"/>
        </w:rPr>
        <w:t>11</w:t>
      </w:r>
      <w:r w:rsidRPr="009E0BAE">
        <w:rPr>
          <w:rFonts w:ascii="Arial" w:hAnsi="Arial" w:cs="Arial"/>
          <w:noProof/>
          <w:sz w:val="22"/>
        </w:rPr>
        <w:t>: 236–47.</w:t>
      </w:r>
    </w:p>
    <w:p w14:paraId="2F936F44"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90</w:t>
      </w:r>
      <w:r w:rsidRPr="009E0BAE">
        <w:rPr>
          <w:rFonts w:ascii="Arial" w:hAnsi="Arial" w:cs="Arial"/>
          <w:noProof/>
          <w:sz w:val="22"/>
        </w:rPr>
        <w:tab/>
        <w:t xml:space="preserve">Davey P, Peden C, Charani E, Marwick C, Michie S. Time for action—Improving the design and reporting of behaviour change interventions for antimicrobial stewardship in hospitals: Early findings from a systematic review. </w:t>
      </w:r>
      <w:r w:rsidRPr="009E0BAE">
        <w:rPr>
          <w:rFonts w:ascii="Arial" w:hAnsi="Arial" w:cs="Arial"/>
          <w:i/>
          <w:iCs/>
          <w:noProof/>
          <w:sz w:val="22"/>
        </w:rPr>
        <w:t>Int J Antimicrob Agents</w:t>
      </w:r>
      <w:r w:rsidRPr="009E0BAE">
        <w:rPr>
          <w:rFonts w:ascii="Arial" w:hAnsi="Arial" w:cs="Arial"/>
          <w:noProof/>
          <w:sz w:val="22"/>
        </w:rPr>
        <w:t xml:space="preserve"> 2015; : [epub ahead of print].</w:t>
      </w:r>
    </w:p>
    <w:p w14:paraId="4620621D"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91</w:t>
      </w:r>
      <w:r w:rsidRPr="009E0BAE">
        <w:rPr>
          <w:rFonts w:ascii="Arial" w:hAnsi="Arial" w:cs="Arial"/>
          <w:noProof/>
          <w:sz w:val="22"/>
        </w:rPr>
        <w:tab/>
        <w:t>Review on Antimicrobial Resistance. Antimicrobial Resistance : Tackling a crisis for the health and wealth of nations. London, 2014.</w:t>
      </w:r>
    </w:p>
    <w:p w14:paraId="6360C747"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92</w:t>
      </w:r>
      <w:r w:rsidRPr="009E0BAE">
        <w:rPr>
          <w:rFonts w:ascii="Arial" w:hAnsi="Arial" w:cs="Arial"/>
          <w:noProof/>
          <w:sz w:val="22"/>
        </w:rPr>
        <w:tab/>
        <w:t xml:space="preserve">Head MG, Fitchett JR, Cooke MK, </w:t>
      </w:r>
      <w:r w:rsidRPr="009E0BAE">
        <w:rPr>
          <w:rFonts w:ascii="Arial" w:hAnsi="Arial" w:cs="Arial"/>
          <w:i/>
          <w:iCs/>
          <w:noProof/>
          <w:sz w:val="22"/>
        </w:rPr>
        <w:t>et al.</w:t>
      </w:r>
      <w:r w:rsidRPr="009E0BAE">
        <w:rPr>
          <w:rFonts w:ascii="Arial" w:hAnsi="Arial" w:cs="Arial"/>
          <w:noProof/>
          <w:sz w:val="22"/>
        </w:rPr>
        <w:t xml:space="preserve"> Systematic analysis of funding awarded for antimicrobial resistance research to institutions in the UK, 1997-2010. </w:t>
      </w:r>
      <w:r w:rsidRPr="009E0BAE">
        <w:rPr>
          <w:rFonts w:ascii="Arial" w:hAnsi="Arial" w:cs="Arial"/>
          <w:i/>
          <w:iCs/>
          <w:noProof/>
          <w:sz w:val="22"/>
        </w:rPr>
        <w:t>J Antimicrob Chemother</w:t>
      </w:r>
      <w:r w:rsidRPr="009E0BAE">
        <w:rPr>
          <w:rFonts w:ascii="Arial" w:hAnsi="Arial" w:cs="Arial"/>
          <w:noProof/>
          <w:sz w:val="22"/>
        </w:rPr>
        <w:t xml:space="preserve"> 2014; </w:t>
      </w:r>
      <w:r w:rsidRPr="009E0BAE">
        <w:rPr>
          <w:rFonts w:ascii="Arial" w:hAnsi="Arial" w:cs="Arial"/>
          <w:b/>
          <w:bCs/>
          <w:noProof/>
          <w:sz w:val="22"/>
        </w:rPr>
        <w:t>69</w:t>
      </w:r>
      <w:r w:rsidRPr="009E0BAE">
        <w:rPr>
          <w:rFonts w:ascii="Arial" w:hAnsi="Arial" w:cs="Arial"/>
          <w:noProof/>
          <w:sz w:val="22"/>
        </w:rPr>
        <w:t>: 548–54.</w:t>
      </w:r>
    </w:p>
    <w:p w14:paraId="12C9D958"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93</w:t>
      </w:r>
      <w:r w:rsidRPr="009E0BAE">
        <w:rPr>
          <w:rFonts w:ascii="Arial" w:hAnsi="Arial" w:cs="Arial"/>
          <w:noProof/>
          <w:sz w:val="22"/>
        </w:rPr>
        <w:tab/>
        <w:t xml:space="preserve">Falagas ME, Athanasoulia AP, Peppas G, Karageorgopoulos DE. Effect of body mass index on the outcome of infections: a systematic review. </w:t>
      </w:r>
      <w:r w:rsidRPr="009E0BAE">
        <w:rPr>
          <w:rFonts w:ascii="Arial" w:hAnsi="Arial" w:cs="Arial"/>
          <w:i/>
          <w:iCs/>
          <w:noProof/>
          <w:sz w:val="22"/>
        </w:rPr>
        <w:t>Obes Rev</w:t>
      </w:r>
      <w:r w:rsidRPr="009E0BAE">
        <w:rPr>
          <w:rFonts w:ascii="Arial" w:hAnsi="Arial" w:cs="Arial"/>
          <w:noProof/>
          <w:sz w:val="22"/>
        </w:rPr>
        <w:t xml:space="preserve"> 2009; </w:t>
      </w:r>
      <w:r w:rsidRPr="009E0BAE">
        <w:rPr>
          <w:rFonts w:ascii="Arial" w:hAnsi="Arial" w:cs="Arial"/>
          <w:b/>
          <w:bCs/>
          <w:noProof/>
          <w:sz w:val="22"/>
        </w:rPr>
        <w:t>10</w:t>
      </w:r>
      <w:r w:rsidRPr="009E0BAE">
        <w:rPr>
          <w:rFonts w:ascii="Arial" w:hAnsi="Arial" w:cs="Arial"/>
          <w:noProof/>
          <w:sz w:val="22"/>
        </w:rPr>
        <w:t>: 280–9.</w:t>
      </w:r>
    </w:p>
    <w:p w14:paraId="64A3C3AF"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94</w:t>
      </w:r>
      <w:r w:rsidRPr="009E0BAE">
        <w:rPr>
          <w:rFonts w:ascii="Arial" w:hAnsi="Arial" w:cs="Arial"/>
          <w:noProof/>
          <w:sz w:val="22"/>
        </w:rPr>
        <w:tab/>
        <w:t xml:space="preserve">Barker CIS, Standing JF, Turner MA, McElnay JC, Sharland M. Antibiotic dosing in children in Europe: can we grade the evidence from pharmacokinetic/pharmacodynamic studies - and when is enough data enough? </w:t>
      </w:r>
      <w:r w:rsidRPr="009E0BAE">
        <w:rPr>
          <w:rFonts w:ascii="Arial" w:hAnsi="Arial" w:cs="Arial"/>
          <w:i/>
          <w:iCs/>
          <w:noProof/>
          <w:sz w:val="22"/>
        </w:rPr>
        <w:t>Curr Opin Infect Dis</w:t>
      </w:r>
      <w:r w:rsidRPr="009E0BAE">
        <w:rPr>
          <w:rFonts w:ascii="Arial" w:hAnsi="Arial" w:cs="Arial"/>
          <w:noProof/>
          <w:sz w:val="22"/>
        </w:rPr>
        <w:t xml:space="preserve"> 2012; </w:t>
      </w:r>
      <w:r w:rsidRPr="009E0BAE">
        <w:rPr>
          <w:rFonts w:ascii="Arial" w:hAnsi="Arial" w:cs="Arial"/>
          <w:b/>
          <w:bCs/>
          <w:noProof/>
          <w:sz w:val="22"/>
        </w:rPr>
        <w:t>25</w:t>
      </w:r>
      <w:r w:rsidRPr="009E0BAE">
        <w:rPr>
          <w:rFonts w:ascii="Arial" w:hAnsi="Arial" w:cs="Arial"/>
          <w:noProof/>
          <w:sz w:val="22"/>
        </w:rPr>
        <w:t>: 235–42.</w:t>
      </w:r>
    </w:p>
    <w:p w14:paraId="7996EBAF"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95</w:t>
      </w:r>
      <w:r w:rsidRPr="009E0BAE">
        <w:rPr>
          <w:rFonts w:ascii="Arial" w:hAnsi="Arial" w:cs="Arial"/>
          <w:noProof/>
          <w:sz w:val="22"/>
        </w:rPr>
        <w:tab/>
        <w:t>Castro-Sánchez E, Charani E, Moore LSP, Gharbi M, Holmes AH. “On call: antibiotics”- development and evaluation of a serious antimicrobial prescribing game for hospital care. In: Schouten B, Fedtke S, Schijven M, Vosmeer M, Gekker A, eds. Games for Health 2014: Proceedings of the 4th conference on gaming and playful interaction in healthcare. Wiesbaden, Springer Vieweg, 2014. doi:10.1007/978-3-658-07141-7_1.</w:t>
      </w:r>
    </w:p>
    <w:p w14:paraId="2DDC93FC"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lastRenderedPageBreak/>
        <w:t>96</w:t>
      </w:r>
      <w:r w:rsidRPr="009E0BAE">
        <w:rPr>
          <w:rFonts w:ascii="Arial" w:hAnsi="Arial" w:cs="Arial"/>
          <w:noProof/>
          <w:sz w:val="22"/>
        </w:rPr>
        <w:tab/>
        <w:t xml:space="preserve">Kyratsis Y, Ahmad R, Holmes A. Technology adoption and implementation in organisations: comparative case studies of 12 English NHS Trusts. </w:t>
      </w:r>
      <w:r w:rsidRPr="009E0BAE">
        <w:rPr>
          <w:rFonts w:ascii="Arial" w:hAnsi="Arial" w:cs="Arial"/>
          <w:i/>
          <w:iCs/>
          <w:noProof/>
          <w:sz w:val="22"/>
        </w:rPr>
        <w:t>BMJ Open</w:t>
      </w:r>
      <w:r w:rsidRPr="009E0BAE">
        <w:rPr>
          <w:rFonts w:ascii="Arial" w:hAnsi="Arial" w:cs="Arial"/>
          <w:noProof/>
          <w:sz w:val="22"/>
        </w:rPr>
        <w:t xml:space="preserve"> 2012; </w:t>
      </w:r>
      <w:r w:rsidRPr="009E0BAE">
        <w:rPr>
          <w:rFonts w:ascii="Arial" w:hAnsi="Arial" w:cs="Arial"/>
          <w:b/>
          <w:bCs/>
          <w:noProof/>
          <w:sz w:val="22"/>
        </w:rPr>
        <w:t>2</w:t>
      </w:r>
      <w:r w:rsidRPr="009E0BAE">
        <w:rPr>
          <w:rFonts w:ascii="Arial" w:hAnsi="Arial" w:cs="Arial"/>
          <w:noProof/>
          <w:sz w:val="22"/>
        </w:rPr>
        <w:t>: e000872.</w:t>
      </w:r>
    </w:p>
    <w:p w14:paraId="0225E452"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97</w:t>
      </w:r>
      <w:r w:rsidRPr="009E0BAE">
        <w:rPr>
          <w:rFonts w:ascii="Arial" w:hAnsi="Arial" w:cs="Arial"/>
          <w:noProof/>
          <w:sz w:val="22"/>
        </w:rPr>
        <w:tab/>
        <w:t xml:space="preserve">Köser CU, Ellington MJ, Cartwright EJP, </w:t>
      </w:r>
      <w:r w:rsidRPr="009E0BAE">
        <w:rPr>
          <w:rFonts w:ascii="Arial" w:hAnsi="Arial" w:cs="Arial"/>
          <w:i/>
          <w:iCs/>
          <w:noProof/>
          <w:sz w:val="22"/>
        </w:rPr>
        <w:t>et al.</w:t>
      </w:r>
      <w:r w:rsidRPr="009E0BAE">
        <w:rPr>
          <w:rFonts w:ascii="Arial" w:hAnsi="Arial" w:cs="Arial"/>
          <w:noProof/>
          <w:sz w:val="22"/>
        </w:rPr>
        <w:t xml:space="preserve"> Routine use of microbial whole genome sequencing in diagnostic and public health microbiology. </w:t>
      </w:r>
      <w:r w:rsidRPr="009E0BAE">
        <w:rPr>
          <w:rFonts w:ascii="Arial" w:hAnsi="Arial" w:cs="Arial"/>
          <w:i/>
          <w:iCs/>
          <w:noProof/>
          <w:sz w:val="22"/>
        </w:rPr>
        <w:t>PLoS Pathog</w:t>
      </w:r>
      <w:r w:rsidRPr="009E0BAE">
        <w:rPr>
          <w:rFonts w:ascii="Arial" w:hAnsi="Arial" w:cs="Arial"/>
          <w:noProof/>
          <w:sz w:val="22"/>
        </w:rPr>
        <w:t xml:space="preserve"> 2012; </w:t>
      </w:r>
      <w:r w:rsidRPr="009E0BAE">
        <w:rPr>
          <w:rFonts w:ascii="Arial" w:hAnsi="Arial" w:cs="Arial"/>
          <w:b/>
          <w:bCs/>
          <w:noProof/>
          <w:sz w:val="22"/>
        </w:rPr>
        <w:t>8</w:t>
      </w:r>
      <w:r w:rsidRPr="009E0BAE">
        <w:rPr>
          <w:rFonts w:ascii="Arial" w:hAnsi="Arial" w:cs="Arial"/>
          <w:noProof/>
          <w:sz w:val="22"/>
        </w:rPr>
        <w:t>: e1002824.</w:t>
      </w:r>
    </w:p>
    <w:p w14:paraId="02B4D2FE"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98</w:t>
      </w:r>
      <w:r w:rsidRPr="009E0BAE">
        <w:rPr>
          <w:rFonts w:ascii="Arial" w:hAnsi="Arial" w:cs="Arial"/>
          <w:noProof/>
          <w:sz w:val="22"/>
        </w:rPr>
        <w:tab/>
        <w:t xml:space="preserve">Hrabák J, Chudácková E, Walková R. Matrix-assisted laser desorption ionization-time of flight (maldi-tof) mass spectrometry for detection of antibiotic resistance mechanisms: from research to routine diagnosis. </w:t>
      </w:r>
      <w:r w:rsidRPr="009E0BAE">
        <w:rPr>
          <w:rFonts w:ascii="Arial" w:hAnsi="Arial" w:cs="Arial"/>
          <w:i/>
          <w:iCs/>
          <w:noProof/>
          <w:sz w:val="22"/>
        </w:rPr>
        <w:t>Clin Microbiol Rev</w:t>
      </w:r>
      <w:r w:rsidRPr="009E0BAE">
        <w:rPr>
          <w:rFonts w:ascii="Arial" w:hAnsi="Arial" w:cs="Arial"/>
          <w:noProof/>
          <w:sz w:val="22"/>
        </w:rPr>
        <w:t xml:space="preserve"> 2013; </w:t>
      </w:r>
      <w:r w:rsidRPr="009E0BAE">
        <w:rPr>
          <w:rFonts w:ascii="Arial" w:hAnsi="Arial" w:cs="Arial"/>
          <w:b/>
          <w:bCs/>
          <w:noProof/>
          <w:sz w:val="22"/>
        </w:rPr>
        <w:t>26</w:t>
      </w:r>
      <w:r w:rsidRPr="009E0BAE">
        <w:rPr>
          <w:rFonts w:ascii="Arial" w:hAnsi="Arial" w:cs="Arial"/>
          <w:noProof/>
          <w:sz w:val="22"/>
        </w:rPr>
        <w:t>: 103–14.</w:t>
      </w:r>
    </w:p>
    <w:p w14:paraId="6E0F0C66"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99</w:t>
      </w:r>
      <w:r w:rsidRPr="009E0BAE">
        <w:rPr>
          <w:rFonts w:ascii="Arial" w:hAnsi="Arial" w:cs="Arial"/>
          <w:noProof/>
          <w:sz w:val="22"/>
        </w:rPr>
        <w:tab/>
        <w:t xml:space="preserve">Schuetz P, Müller B, Stolz D, </w:t>
      </w:r>
      <w:r w:rsidRPr="009E0BAE">
        <w:rPr>
          <w:rFonts w:ascii="Arial" w:hAnsi="Arial" w:cs="Arial"/>
          <w:i/>
          <w:iCs/>
          <w:noProof/>
          <w:sz w:val="22"/>
        </w:rPr>
        <w:t>et al.</w:t>
      </w:r>
      <w:r w:rsidRPr="009E0BAE">
        <w:rPr>
          <w:rFonts w:ascii="Arial" w:hAnsi="Arial" w:cs="Arial"/>
          <w:noProof/>
          <w:sz w:val="22"/>
        </w:rPr>
        <w:t xml:space="preserve"> Procalcitonin to initiate or discontinue antibiotics in acute respiratory tract infections (Review). </w:t>
      </w:r>
      <w:r w:rsidRPr="009E0BAE">
        <w:rPr>
          <w:rFonts w:ascii="Arial" w:hAnsi="Arial" w:cs="Arial"/>
          <w:i/>
          <w:iCs/>
          <w:noProof/>
          <w:sz w:val="22"/>
        </w:rPr>
        <w:t>Cochrane Database Syst Rev</w:t>
      </w:r>
      <w:r w:rsidRPr="009E0BAE">
        <w:rPr>
          <w:rFonts w:ascii="Arial" w:hAnsi="Arial" w:cs="Arial"/>
          <w:noProof/>
          <w:sz w:val="22"/>
        </w:rPr>
        <w:t xml:space="preserve"> 2012; : CD007498.</w:t>
      </w:r>
    </w:p>
    <w:p w14:paraId="525BA9BF"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100</w:t>
      </w:r>
      <w:r w:rsidRPr="009E0BAE">
        <w:rPr>
          <w:rFonts w:ascii="Arial" w:hAnsi="Arial" w:cs="Arial"/>
          <w:noProof/>
          <w:sz w:val="22"/>
        </w:rPr>
        <w:tab/>
        <w:t xml:space="preserve">Nordmann P, Poirel L, Dortet L. Rapid Detection of Carbapenemase producing Enterobacteriaceae. </w:t>
      </w:r>
      <w:r w:rsidRPr="009E0BAE">
        <w:rPr>
          <w:rFonts w:ascii="Arial" w:hAnsi="Arial" w:cs="Arial"/>
          <w:i/>
          <w:iCs/>
          <w:noProof/>
          <w:sz w:val="22"/>
        </w:rPr>
        <w:t>Emerg Infect Dis</w:t>
      </w:r>
      <w:r w:rsidRPr="009E0BAE">
        <w:rPr>
          <w:rFonts w:ascii="Arial" w:hAnsi="Arial" w:cs="Arial"/>
          <w:noProof/>
          <w:sz w:val="22"/>
        </w:rPr>
        <w:t xml:space="preserve"> 2012; </w:t>
      </w:r>
      <w:r w:rsidRPr="009E0BAE">
        <w:rPr>
          <w:rFonts w:ascii="Arial" w:hAnsi="Arial" w:cs="Arial"/>
          <w:b/>
          <w:bCs/>
          <w:noProof/>
          <w:sz w:val="22"/>
        </w:rPr>
        <w:t>18</w:t>
      </w:r>
      <w:r w:rsidRPr="009E0BAE">
        <w:rPr>
          <w:rFonts w:ascii="Arial" w:hAnsi="Arial" w:cs="Arial"/>
          <w:noProof/>
          <w:sz w:val="22"/>
        </w:rPr>
        <w:t>: 1503–7.</w:t>
      </w:r>
    </w:p>
    <w:p w14:paraId="218BF0F6"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101</w:t>
      </w:r>
      <w:r w:rsidRPr="009E0BAE">
        <w:rPr>
          <w:rFonts w:ascii="Arial" w:hAnsi="Arial" w:cs="Arial"/>
          <w:noProof/>
          <w:sz w:val="22"/>
        </w:rPr>
        <w:tab/>
        <w:t xml:space="preserve">Ling LL, Schneider T, Peoples AJ, </w:t>
      </w:r>
      <w:r w:rsidRPr="009E0BAE">
        <w:rPr>
          <w:rFonts w:ascii="Arial" w:hAnsi="Arial" w:cs="Arial"/>
          <w:i/>
          <w:iCs/>
          <w:noProof/>
          <w:sz w:val="22"/>
        </w:rPr>
        <w:t>et al.</w:t>
      </w:r>
      <w:r w:rsidRPr="009E0BAE">
        <w:rPr>
          <w:rFonts w:ascii="Arial" w:hAnsi="Arial" w:cs="Arial"/>
          <w:noProof/>
          <w:sz w:val="22"/>
        </w:rPr>
        <w:t xml:space="preserve"> A new antibiotic kills pathogens without detectable resistance. </w:t>
      </w:r>
      <w:r w:rsidRPr="009E0BAE">
        <w:rPr>
          <w:rFonts w:ascii="Arial" w:hAnsi="Arial" w:cs="Arial"/>
          <w:i/>
          <w:iCs/>
          <w:noProof/>
          <w:sz w:val="22"/>
        </w:rPr>
        <w:t>Nature</w:t>
      </w:r>
      <w:r w:rsidRPr="009E0BAE">
        <w:rPr>
          <w:rFonts w:ascii="Arial" w:hAnsi="Arial" w:cs="Arial"/>
          <w:noProof/>
          <w:sz w:val="22"/>
        </w:rPr>
        <w:t xml:space="preserve"> 2015; : [epub ahead of print].</w:t>
      </w:r>
    </w:p>
    <w:p w14:paraId="10A7C86A"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102</w:t>
      </w:r>
      <w:r w:rsidRPr="009E0BAE">
        <w:rPr>
          <w:rFonts w:ascii="Arial" w:hAnsi="Arial" w:cs="Arial"/>
          <w:noProof/>
          <w:sz w:val="22"/>
        </w:rPr>
        <w:tab/>
        <w:t xml:space="preserve">Moore LS, Freeman R, Gilchrist M, </w:t>
      </w:r>
      <w:r w:rsidRPr="009E0BAE">
        <w:rPr>
          <w:rFonts w:ascii="Arial" w:hAnsi="Arial" w:cs="Arial"/>
          <w:i/>
          <w:iCs/>
          <w:noProof/>
          <w:sz w:val="22"/>
        </w:rPr>
        <w:t>et al.</w:t>
      </w:r>
      <w:r w:rsidRPr="009E0BAE">
        <w:rPr>
          <w:rFonts w:ascii="Arial" w:hAnsi="Arial" w:cs="Arial"/>
          <w:noProof/>
          <w:sz w:val="22"/>
        </w:rPr>
        <w:t xml:space="preserve"> Homogeneity of antimicrobial policy, yet heterogeneity of antimicrobial resistance: antimicrobial non-susceptibility among 108,717 clinical isolates from primary, secondary and tertiary care patients in London. </w:t>
      </w:r>
      <w:r w:rsidRPr="009E0BAE">
        <w:rPr>
          <w:rFonts w:ascii="Arial" w:hAnsi="Arial" w:cs="Arial"/>
          <w:i/>
          <w:iCs/>
          <w:noProof/>
          <w:sz w:val="22"/>
        </w:rPr>
        <w:t>J Antimicrob Chemother</w:t>
      </w:r>
      <w:r w:rsidRPr="009E0BAE">
        <w:rPr>
          <w:rFonts w:ascii="Arial" w:hAnsi="Arial" w:cs="Arial"/>
          <w:noProof/>
          <w:sz w:val="22"/>
        </w:rPr>
        <w:t xml:space="preserve"> 2014; : [In Press].</w:t>
      </w:r>
    </w:p>
    <w:p w14:paraId="0FC04315"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103</w:t>
      </w:r>
      <w:r w:rsidRPr="009E0BAE">
        <w:rPr>
          <w:rFonts w:ascii="Arial" w:hAnsi="Arial" w:cs="Arial"/>
          <w:noProof/>
          <w:sz w:val="22"/>
        </w:rPr>
        <w:tab/>
        <w:t xml:space="preserve">Freeman R, Charlett A, Hopkins S, </w:t>
      </w:r>
      <w:r w:rsidRPr="009E0BAE">
        <w:rPr>
          <w:rFonts w:ascii="Arial" w:hAnsi="Arial" w:cs="Arial"/>
          <w:i/>
          <w:iCs/>
          <w:noProof/>
          <w:sz w:val="22"/>
        </w:rPr>
        <w:t>et al.</w:t>
      </w:r>
      <w:r w:rsidRPr="009E0BAE">
        <w:rPr>
          <w:rFonts w:ascii="Arial" w:hAnsi="Arial" w:cs="Arial"/>
          <w:noProof/>
          <w:sz w:val="22"/>
        </w:rPr>
        <w:t xml:space="preserve"> Evaluation of a national microbiological surveillance system to inform automated outbreak detection. </w:t>
      </w:r>
      <w:r w:rsidRPr="009E0BAE">
        <w:rPr>
          <w:rFonts w:ascii="Arial" w:hAnsi="Arial" w:cs="Arial"/>
          <w:i/>
          <w:iCs/>
          <w:noProof/>
          <w:sz w:val="22"/>
        </w:rPr>
        <w:t>J Infect</w:t>
      </w:r>
      <w:r w:rsidRPr="009E0BAE">
        <w:rPr>
          <w:rFonts w:ascii="Arial" w:hAnsi="Arial" w:cs="Arial"/>
          <w:noProof/>
          <w:sz w:val="22"/>
        </w:rPr>
        <w:t xml:space="preserve"> 2013; </w:t>
      </w:r>
      <w:r w:rsidRPr="009E0BAE">
        <w:rPr>
          <w:rFonts w:ascii="Arial" w:hAnsi="Arial" w:cs="Arial"/>
          <w:b/>
          <w:bCs/>
          <w:noProof/>
          <w:sz w:val="22"/>
        </w:rPr>
        <w:t>67</w:t>
      </w:r>
      <w:r w:rsidRPr="009E0BAE">
        <w:rPr>
          <w:rFonts w:ascii="Arial" w:hAnsi="Arial" w:cs="Arial"/>
          <w:noProof/>
          <w:sz w:val="22"/>
        </w:rPr>
        <w:t>: 378–84.</w:t>
      </w:r>
    </w:p>
    <w:p w14:paraId="5DDA356C"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104</w:t>
      </w:r>
      <w:r w:rsidRPr="009E0BAE">
        <w:rPr>
          <w:rFonts w:ascii="Arial" w:hAnsi="Arial" w:cs="Arial"/>
          <w:noProof/>
          <w:sz w:val="22"/>
        </w:rPr>
        <w:tab/>
        <w:t xml:space="preserve">Balaban NQ, Gerdes K, Lewis K, McKinney JD. A problem of persistence: still more questions than answers? </w:t>
      </w:r>
      <w:r w:rsidRPr="009E0BAE">
        <w:rPr>
          <w:rFonts w:ascii="Arial" w:hAnsi="Arial" w:cs="Arial"/>
          <w:i/>
          <w:iCs/>
          <w:noProof/>
          <w:sz w:val="22"/>
        </w:rPr>
        <w:t>Nat Rev Microbiol</w:t>
      </w:r>
      <w:r w:rsidRPr="009E0BAE">
        <w:rPr>
          <w:rFonts w:ascii="Arial" w:hAnsi="Arial" w:cs="Arial"/>
          <w:noProof/>
          <w:sz w:val="22"/>
        </w:rPr>
        <w:t xml:space="preserve"> 2013; </w:t>
      </w:r>
      <w:r w:rsidRPr="009E0BAE">
        <w:rPr>
          <w:rFonts w:ascii="Arial" w:hAnsi="Arial" w:cs="Arial"/>
          <w:b/>
          <w:bCs/>
          <w:noProof/>
          <w:sz w:val="22"/>
        </w:rPr>
        <w:t>11</w:t>
      </w:r>
      <w:r w:rsidRPr="009E0BAE">
        <w:rPr>
          <w:rFonts w:ascii="Arial" w:hAnsi="Arial" w:cs="Arial"/>
          <w:noProof/>
          <w:sz w:val="22"/>
        </w:rPr>
        <w:t>: 587–91.</w:t>
      </w:r>
    </w:p>
    <w:p w14:paraId="1740644D"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105</w:t>
      </w:r>
      <w:r w:rsidRPr="009E0BAE">
        <w:rPr>
          <w:rFonts w:ascii="Arial" w:hAnsi="Arial" w:cs="Arial"/>
          <w:noProof/>
          <w:sz w:val="22"/>
        </w:rPr>
        <w:tab/>
        <w:t>NIAID’s Antibacteria Resistance Program: Current Status and Future Directions. Bathesda, MD., 2014.</w:t>
      </w:r>
    </w:p>
    <w:p w14:paraId="1C549F50"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106</w:t>
      </w:r>
      <w:r w:rsidRPr="009E0BAE">
        <w:rPr>
          <w:rFonts w:ascii="Arial" w:hAnsi="Arial" w:cs="Arial"/>
          <w:noProof/>
          <w:sz w:val="22"/>
        </w:rPr>
        <w:tab/>
        <w:t xml:space="preserve">Wang Y, Ma S. Small molecules modulating AHL-based quorum sensing to attenuate bacteria virulence and biofilms as promising antimicrobial drugs. </w:t>
      </w:r>
      <w:r w:rsidRPr="009E0BAE">
        <w:rPr>
          <w:rFonts w:ascii="Arial" w:hAnsi="Arial" w:cs="Arial"/>
          <w:i/>
          <w:iCs/>
          <w:noProof/>
          <w:sz w:val="22"/>
        </w:rPr>
        <w:t>Curr Med Chem</w:t>
      </w:r>
      <w:r w:rsidRPr="009E0BAE">
        <w:rPr>
          <w:rFonts w:ascii="Arial" w:hAnsi="Arial" w:cs="Arial"/>
          <w:noProof/>
          <w:sz w:val="22"/>
        </w:rPr>
        <w:t xml:space="preserve"> 2013; </w:t>
      </w:r>
      <w:r w:rsidRPr="009E0BAE">
        <w:rPr>
          <w:rFonts w:ascii="Arial" w:hAnsi="Arial" w:cs="Arial"/>
          <w:b/>
          <w:bCs/>
          <w:noProof/>
          <w:sz w:val="22"/>
        </w:rPr>
        <w:t>21</w:t>
      </w:r>
      <w:r w:rsidRPr="009E0BAE">
        <w:rPr>
          <w:rFonts w:ascii="Arial" w:hAnsi="Arial" w:cs="Arial"/>
          <w:noProof/>
          <w:sz w:val="22"/>
        </w:rPr>
        <w:t>: 296–311.</w:t>
      </w:r>
    </w:p>
    <w:p w14:paraId="75708285"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107</w:t>
      </w:r>
      <w:r w:rsidRPr="009E0BAE">
        <w:rPr>
          <w:rFonts w:ascii="Arial" w:hAnsi="Arial" w:cs="Arial"/>
          <w:noProof/>
          <w:sz w:val="22"/>
        </w:rPr>
        <w:tab/>
        <w:t xml:space="preserve">Soothill J. Use of bacteriophages in the treatment of Pseudomonas aeruginosa infections. </w:t>
      </w:r>
      <w:r w:rsidRPr="009E0BAE">
        <w:rPr>
          <w:rFonts w:ascii="Arial" w:hAnsi="Arial" w:cs="Arial"/>
          <w:i/>
          <w:iCs/>
          <w:noProof/>
          <w:sz w:val="22"/>
        </w:rPr>
        <w:t>Expert Rev Anti Infect Ther</w:t>
      </w:r>
      <w:r w:rsidRPr="009E0BAE">
        <w:rPr>
          <w:rFonts w:ascii="Arial" w:hAnsi="Arial" w:cs="Arial"/>
          <w:noProof/>
          <w:sz w:val="22"/>
        </w:rPr>
        <w:t xml:space="preserve"> 2013; </w:t>
      </w:r>
      <w:r w:rsidRPr="009E0BAE">
        <w:rPr>
          <w:rFonts w:ascii="Arial" w:hAnsi="Arial" w:cs="Arial"/>
          <w:b/>
          <w:bCs/>
          <w:noProof/>
          <w:sz w:val="22"/>
        </w:rPr>
        <w:t>11</w:t>
      </w:r>
      <w:r w:rsidRPr="009E0BAE">
        <w:rPr>
          <w:rFonts w:ascii="Arial" w:hAnsi="Arial" w:cs="Arial"/>
          <w:noProof/>
          <w:sz w:val="22"/>
        </w:rPr>
        <w:t>: 909–15.</w:t>
      </w:r>
    </w:p>
    <w:p w14:paraId="784C2CF0"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108</w:t>
      </w:r>
      <w:r w:rsidRPr="009E0BAE">
        <w:rPr>
          <w:rFonts w:ascii="Arial" w:hAnsi="Arial" w:cs="Arial"/>
          <w:noProof/>
          <w:sz w:val="22"/>
        </w:rPr>
        <w:tab/>
        <w:t xml:space="preserve">Van Nood E, Vrieze A, Nieuwdorp M, </w:t>
      </w:r>
      <w:r w:rsidRPr="009E0BAE">
        <w:rPr>
          <w:rFonts w:ascii="Arial" w:hAnsi="Arial" w:cs="Arial"/>
          <w:i/>
          <w:iCs/>
          <w:noProof/>
          <w:sz w:val="22"/>
        </w:rPr>
        <w:t>et al.</w:t>
      </w:r>
      <w:r w:rsidRPr="009E0BAE">
        <w:rPr>
          <w:rFonts w:ascii="Arial" w:hAnsi="Arial" w:cs="Arial"/>
          <w:noProof/>
          <w:sz w:val="22"/>
        </w:rPr>
        <w:t xml:space="preserve"> Duodenal infusion of donor feces for recurrent Clostridium difficile. </w:t>
      </w:r>
      <w:r w:rsidRPr="009E0BAE">
        <w:rPr>
          <w:rFonts w:ascii="Arial" w:hAnsi="Arial" w:cs="Arial"/>
          <w:i/>
          <w:iCs/>
          <w:noProof/>
          <w:sz w:val="22"/>
        </w:rPr>
        <w:t>N Engl J Med</w:t>
      </w:r>
      <w:r w:rsidRPr="009E0BAE">
        <w:rPr>
          <w:rFonts w:ascii="Arial" w:hAnsi="Arial" w:cs="Arial"/>
          <w:noProof/>
          <w:sz w:val="22"/>
        </w:rPr>
        <w:t xml:space="preserve"> 2013; </w:t>
      </w:r>
      <w:r w:rsidRPr="009E0BAE">
        <w:rPr>
          <w:rFonts w:ascii="Arial" w:hAnsi="Arial" w:cs="Arial"/>
          <w:b/>
          <w:bCs/>
          <w:noProof/>
          <w:sz w:val="22"/>
        </w:rPr>
        <w:t>368</w:t>
      </w:r>
      <w:r w:rsidRPr="009E0BAE">
        <w:rPr>
          <w:rFonts w:ascii="Arial" w:hAnsi="Arial" w:cs="Arial"/>
          <w:noProof/>
          <w:sz w:val="22"/>
        </w:rPr>
        <w:t>: 407–15.</w:t>
      </w:r>
    </w:p>
    <w:p w14:paraId="1D64E05C"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109</w:t>
      </w:r>
      <w:r w:rsidRPr="009E0BAE">
        <w:rPr>
          <w:rFonts w:ascii="Arial" w:hAnsi="Arial" w:cs="Arial"/>
          <w:noProof/>
          <w:sz w:val="22"/>
        </w:rPr>
        <w:tab/>
        <w:t xml:space="preserve">Czyz DM, Potluri L-P, Jain-Gupta N, </w:t>
      </w:r>
      <w:r w:rsidRPr="009E0BAE">
        <w:rPr>
          <w:rFonts w:ascii="Arial" w:hAnsi="Arial" w:cs="Arial"/>
          <w:i/>
          <w:iCs/>
          <w:noProof/>
          <w:sz w:val="22"/>
        </w:rPr>
        <w:t>et al.</w:t>
      </w:r>
      <w:r w:rsidRPr="009E0BAE">
        <w:rPr>
          <w:rFonts w:ascii="Arial" w:hAnsi="Arial" w:cs="Arial"/>
          <w:noProof/>
          <w:sz w:val="22"/>
        </w:rPr>
        <w:t xml:space="preserve"> Host-Directed Antimicrobial Drugs with Broad-Spectrum Efficacy against Intracellular Bacterial Pathogens. </w:t>
      </w:r>
      <w:r w:rsidRPr="009E0BAE">
        <w:rPr>
          <w:rFonts w:ascii="Arial" w:hAnsi="Arial" w:cs="Arial"/>
          <w:i/>
          <w:iCs/>
          <w:noProof/>
          <w:sz w:val="22"/>
        </w:rPr>
        <w:t>MBio</w:t>
      </w:r>
      <w:r w:rsidRPr="009E0BAE">
        <w:rPr>
          <w:rFonts w:ascii="Arial" w:hAnsi="Arial" w:cs="Arial"/>
          <w:noProof/>
          <w:sz w:val="22"/>
        </w:rPr>
        <w:t xml:space="preserve"> 2014; </w:t>
      </w:r>
      <w:r w:rsidRPr="009E0BAE">
        <w:rPr>
          <w:rFonts w:ascii="Arial" w:hAnsi="Arial" w:cs="Arial"/>
          <w:b/>
          <w:bCs/>
          <w:noProof/>
          <w:sz w:val="22"/>
        </w:rPr>
        <w:t>5</w:t>
      </w:r>
      <w:r w:rsidRPr="009E0BAE">
        <w:rPr>
          <w:rFonts w:ascii="Arial" w:hAnsi="Arial" w:cs="Arial"/>
          <w:noProof/>
          <w:sz w:val="22"/>
        </w:rPr>
        <w:t>: e01534–14.</w:t>
      </w:r>
    </w:p>
    <w:p w14:paraId="41FFF5ED"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110</w:t>
      </w:r>
      <w:r w:rsidRPr="009E0BAE">
        <w:rPr>
          <w:rFonts w:ascii="Arial" w:hAnsi="Arial" w:cs="Arial"/>
          <w:noProof/>
          <w:sz w:val="22"/>
        </w:rPr>
        <w:tab/>
        <w:t xml:space="preserve">Guillemot D, Varon E, Bernède C, </w:t>
      </w:r>
      <w:r w:rsidRPr="009E0BAE">
        <w:rPr>
          <w:rFonts w:ascii="Arial" w:hAnsi="Arial" w:cs="Arial"/>
          <w:i/>
          <w:iCs/>
          <w:noProof/>
          <w:sz w:val="22"/>
        </w:rPr>
        <w:t>et al.</w:t>
      </w:r>
      <w:r w:rsidRPr="009E0BAE">
        <w:rPr>
          <w:rFonts w:ascii="Arial" w:hAnsi="Arial" w:cs="Arial"/>
          <w:noProof/>
          <w:sz w:val="22"/>
        </w:rPr>
        <w:t xml:space="preserve"> Reduction of antibiotic use in the community reduces the rate of colonization with penicillin G-nonsusceptible Streptococcus pneumoniae. </w:t>
      </w:r>
      <w:r w:rsidRPr="009E0BAE">
        <w:rPr>
          <w:rFonts w:ascii="Arial" w:hAnsi="Arial" w:cs="Arial"/>
          <w:i/>
          <w:iCs/>
          <w:noProof/>
          <w:sz w:val="22"/>
        </w:rPr>
        <w:t>Clin Infect Dis</w:t>
      </w:r>
      <w:r w:rsidRPr="009E0BAE">
        <w:rPr>
          <w:rFonts w:ascii="Arial" w:hAnsi="Arial" w:cs="Arial"/>
          <w:noProof/>
          <w:sz w:val="22"/>
        </w:rPr>
        <w:t xml:space="preserve"> 2005; </w:t>
      </w:r>
      <w:r w:rsidRPr="009E0BAE">
        <w:rPr>
          <w:rFonts w:ascii="Arial" w:hAnsi="Arial" w:cs="Arial"/>
          <w:b/>
          <w:bCs/>
          <w:noProof/>
          <w:sz w:val="22"/>
        </w:rPr>
        <w:t>41</w:t>
      </w:r>
      <w:r w:rsidRPr="009E0BAE">
        <w:rPr>
          <w:rFonts w:ascii="Arial" w:hAnsi="Arial" w:cs="Arial"/>
          <w:noProof/>
          <w:sz w:val="22"/>
        </w:rPr>
        <w:t>: 930–8.</w:t>
      </w:r>
    </w:p>
    <w:p w14:paraId="138A4A09"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111</w:t>
      </w:r>
      <w:r w:rsidRPr="009E0BAE">
        <w:rPr>
          <w:rFonts w:ascii="Arial" w:hAnsi="Arial" w:cs="Arial"/>
          <w:noProof/>
          <w:sz w:val="22"/>
        </w:rPr>
        <w:tab/>
        <w:t xml:space="preserve">Seppälä H, Klaukka T, Vuopio-Varkila J, </w:t>
      </w:r>
      <w:r w:rsidRPr="009E0BAE">
        <w:rPr>
          <w:rFonts w:ascii="Arial" w:hAnsi="Arial" w:cs="Arial"/>
          <w:i/>
          <w:iCs/>
          <w:noProof/>
          <w:sz w:val="22"/>
        </w:rPr>
        <w:t>et al.</w:t>
      </w:r>
      <w:r w:rsidRPr="009E0BAE">
        <w:rPr>
          <w:rFonts w:ascii="Arial" w:hAnsi="Arial" w:cs="Arial"/>
          <w:noProof/>
          <w:sz w:val="22"/>
        </w:rPr>
        <w:t xml:space="preserve"> The Effect of Changes in the Consumption of macrolide antibiotics on erythromycin resistance in Group A Streptococci in Finland. </w:t>
      </w:r>
      <w:r w:rsidRPr="009E0BAE">
        <w:rPr>
          <w:rFonts w:ascii="Arial" w:hAnsi="Arial" w:cs="Arial"/>
          <w:i/>
          <w:iCs/>
          <w:noProof/>
          <w:sz w:val="22"/>
        </w:rPr>
        <w:t>N Engl J Med</w:t>
      </w:r>
      <w:r w:rsidRPr="009E0BAE">
        <w:rPr>
          <w:rFonts w:ascii="Arial" w:hAnsi="Arial" w:cs="Arial"/>
          <w:noProof/>
          <w:sz w:val="22"/>
        </w:rPr>
        <w:t xml:space="preserve"> 1997; </w:t>
      </w:r>
      <w:r w:rsidRPr="009E0BAE">
        <w:rPr>
          <w:rFonts w:ascii="Arial" w:hAnsi="Arial" w:cs="Arial"/>
          <w:b/>
          <w:bCs/>
          <w:noProof/>
          <w:sz w:val="22"/>
        </w:rPr>
        <w:t>337</w:t>
      </w:r>
      <w:r w:rsidRPr="009E0BAE">
        <w:rPr>
          <w:rFonts w:ascii="Arial" w:hAnsi="Arial" w:cs="Arial"/>
          <w:noProof/>
          <w:sz w:val="22"/>
        </w:rPr>
        <w:t>: 441–6.</w:t>
      </w:r>
    </w:p>
    <w:p w14:paraId="3B46F2F1"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lastRenderedPageBreak/>
        <w:t>112</w:t>
      </w:r>
      <w:r w:rsidRPr="009E0BAE">
        <w:rPr>
          <w:rFonts w:ascii="Arial" w:hAnsi="Arial" w:cs="Arial"/>
          <w:noProof/>
          <w:sz w:val="22"/>
        </w:rPr>
        <w:tab/>
        <w:t xml:space="preserve">Sundqvist M, Geli P, Andersson DI, </w:t>
      </w:r>
      <w:r w:rsidRPr="009E0BAE">
        <w:rPr>
          <w:rFonts w:ascii="Arial" w:hAnsi="Arial" w:cs="Arial"/>
          <w:i/>
          <w:iCs/>
          <w:noProof/>
          <w:sz w:val="22"/>
        </w:rPr>
        <w:t>et al.</w:t>
      </w:r>
      <w:r w:rsidRPr="009E0BAE">
        <w:rPr>
          <w:rFonts w:ascii="Arial" w:hAnsi="Arial" w:cs="Arial"/>
          <w:noProof/>
          <w:sz w:val="22"/>
        </w:rPr>
        <w:t xml:space="preserve"> Little evidence for reversibility of trimethoprim resistance after a drastic reduction in trimethoprim use. </w:t>
      </w:r>
      <w:r w:rsidRPr="009E0BAE">
        <w:rPr>
          <w:rFonts w:ascii="Arial" w:hAnsi="Arial" w:cs="Arial"/>
          <w:i/>
          <w:iCs/>
          <w:noProof/>
          <w:sz w:val="22"/>
        </w:rPr>
        <w:t>J Antimicrob Chemother</w:t>
      </w:r>
      <w:r w:rsidRPr="009E0BAE">
        <w:rPr>
          <w:rFonts w:ascii="Arial" w:hAnsi="Arial" w:cs="Arial"/>
          <w:noProof/>
          <w:sz w:val="22"/>
        </w:rPr>
        <w:t xml:space="preserve"> 2010; </w:t>
      </w:r>
      <w:r w:rsidRPr="009E0BAE">
        <w:rPr>
          <w:rFonts w:ascii="Arial" w:hAnsi="Arial" w:cs="Arial"/>
          <w:b/>
          <w:bCs/>
          <w:noProof/>
          <w:sz w:val="22"/>
        </w:rPr>
        <w:t>65</w:t>
      </w:r>
      <w:r w:rsidRPr="009E0BAE">
        <w:rPr>
          <w:rFonts w:ascii="Arial" w:hAnsi="Arial" w:cs="Arial"/>
          <w:noProof/>
          <w:sz w:val="22"/>
        </w:rPr>
        <w:t>: 350–60.</w:t>
      </w:r>
    </w:p>
    <w:p w14:paraId="2BE2DFD1"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113</w:t>
      </w:r>
      <w:r w:rsidRPr="009E0BAE">
        <w:rPr>
          <w:rFonts w:ascii="Arial" w:hAnsi="Arial" w:cs="Arial"/>
          <w:noProof/>
          <w:sz w:val="22"/>
        </w:rPr>
        <w:tab/>
        <w:t xml:space="preserve">Enne VI, Livermore DM, Stephens P, Hall LM. Persistence of sulphonamide resistance in Escherichia coli in the UK despite national prescribing restriction. </w:t>
      </w:r>
      <w:r w:rsidRPr="009E0BAE">
        <w:rPr>
          <w:rFonts w:ascii="Arial" w:hAnsi="Arial" w:cs="Arial"/>
          <w:i/>
          <w:iCs/>
          <w:noProof/>
          <w:sz w:val="22"/>
        </w:rPr>
        <w:t>Lancet</w:t>
      </w:r>
      <w:r w:rsidRPr="009E0BAE">
        <w:rPr>
          <w:rFonts w:ascii="Arial" w:hAnsi="Arial" w:cs="Arial"/>
          <w:noProof/>
          <w:sz w:val="22"/>
        </w:rPr>
        <w:t xml:space="preserve"> 2001; </w:t>
      </w:r>
      <w:r w:rsidRPr="009E0BAE">
        <w:rPr>
          <w:rFonts w:ascii="Arial" w:hAnsi="Arial" w:cs="Arial"/>
          <w:b/>
          <w:bCs/>
          <w:noProof/>
          <w:sz w:val="22"/>
        </w:rPr>
        <w:t>357</w:t>
      </w:r>
      <w:r w:rsidRPr="009E0BAE">
        <w:rPr>
          <w:rFonts w:ascii="Arial" w:hAnsi="Arial" w:cs="Arial"/>
          <w:noProof/>
          <w:sz w:val="22"/>
        </w:rPr>
        <w:t>: 1325–8.</w:t>
      </w:r>
    </w:p>
    <w:p w14:paraId="39B12DB7"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114</w:t>
      </w:r>
      <w:r w:rsidRPr="009E0BAE">
        <w:rPr>
          <w:rFonts w:ascii="Arial" w:hAnsi="Arial" w:cs="Arial"/>
          <w:noProof/>
          <w:sz w:val="22"/>
        </w:rPr>
        <w:tab/>
        <w:t xml:space="preserve">Aarestrup FM, Seyfarth AM, Emborg H, </w:t>
      </w:r>
      <w:r w:rsidRPr="009E0BAE">
        <w:rPr>
          <w:rFonts w:ascii="Arial" w:hAnsi="Arial" w:cs="Arial"/>
          <w:i/>
          <w:iCs/>
          <w:noProof/>
          <w:sz w:val="22"/>
        </w:rPr>
        <w:t>et al.</w:t>
      </w:r>
      <w:r w:rsidRPr="009E0BAE">
        <w:rPr>
          <w:rFonts w:ascii="Arial" w:hAnsi="Arial" w:cs="Arial"/>
          <w:noProof/>
          <w:sz w:val="22"/>
        </w:rPr>
        <w:t xml:space="preserve"> Effect of Abolishment of the Use of Antimicrobial Agents for Growth Promotion on Occurrence of Antimicrobial Resistance in Fecal Enterococci from Food Animals in Denmark. </w:t>
      </w:r>
      <w:r w:rsidRPr="009E0BAE">
        <w:rPr>
          <w:rFonts w:ascii="Arial" w:hAnsi="Arial" w:cs="Arial"/>
          <w:i/>
          <w:iCs/>
          <w:noProof/>
          <w:sz w:val="22"/>
        </w:rPr>
        <w:t>Antimicrob Agents Chemother</w:t>
      </w:r>
      <w:r w:rsidRPr="009E0BAE">
        <w:rPr>
          <w:rFonts w:ascii="Arial" w:hAnsi="Arial" w:cs="Arial"/>
          <w:noProof/>
          <w:sz w:val="22"/>
        </w:rPr>
        <w:t xml:space="preserve"> 2001; </w:t>
      </w:r>
      <w:r w:rsidRPr="009E0BAE">
        <w:rPr>
          <w:rFonts w:ascii="Arial" w:hAnsi="Arial" w:cs="Arial"/>
          <w:b/>
          <w:bCs/>
          <w:noProof/>
          <w:sz w:val="22"/>
        </w:rPr>
        <w:t>45</w:t>
      </w:r>
      <w:r w:rsidRPr="009E0BAE">
        <w:rPr>
          <w:rFonts w:ascii="Arial" w:hAnsi="Arial" w:cs="Arial"/>
          <w:noProof/>
          <w:sz w:val="22"/>
        </w:rPr>
        <w:t>: 2054–9.</w:t>
      </w:r>
    </w:p>
    <w:p w14:paraId="5D33A8AF"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115</w:t>
      </w:r>
      <w:r w:rsidRPr="009E0BAE">
        <w:rPr>
          <w:rFonts w:ascii="Arial" w:hAnsi="Arial" w:cs="Arial"/>
          <w:noProof/>
          <w:sz w:val="22"/>
        </w:rPr>
        <w:tab/>
        <w:t xml:space="preserve">Borgen K, Simonsen GS, Sundsfjord A, Wasteson Y, Olsvik O, Kruse H. Continuing high prevalence of VanA-type vancomycin-resistant enterococci on Norwegian poultry farms three years after avoparcin was banned. </w:t>
      </w:r>
      <w:r w:rsidRPr="009E0BAE">
        <w:rPr>
          <w:rFonts w:ascii="Arial" w:hAnsi="Arial" w:cs="Arial"/>
          <w:i/>
          <w:iCs/>
          <w:noProof/>
          <w:sz w:val="22"/>
        </w:rPr>
        <w:t>J Appl Microbiol</w:t>
      </w:r>
      <w:r w:rsidRPr="009E0BAE">
        <w:rPr>
          <w:rFonts w:ascii="Arial" w:hAnsi="Arial" w:cs="Arial"/>
          <w:noProof/>
          <w:sz w:val="22"/>
        </w:rPr>
        <w:t xml:space="preserve"> 2000; </w:t>
      </w:r>
      <w:r w:rsidRPr="009E0BAE">
        <w:rPr>
          <w:rFonts w:ascii="Arial" w:hAnsi="Arial" w:cs="Arial"/>
          <w:b/>
          <w:bCs/>
          <w:noProof/>
          <w:sz w:val="22"/>
        </w:rPr>
        <w:t>89</w:t>
      </w:r>
      <w:r w:rsidRPr="009E0BAE">
        <w:rPr>
          <w:rFonts w:ascii="Arial" w:hAnsi="Arial" w:cs="Arial"/>
          <w:noProof/>
          <w:sz w:val="22"/>
        </w:rPr>
        <w:t>: 478–85.</w:t>
      </w:r>
    </w:p>
    <w:p w14:paraId="21DB2E4C"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116</w:t>
      </w:r>
      <w:r w:rsidRPr="009E0BAE">
        <w:rPr>
          <w:rFonts w:ascii="Arial" w:hAnsi="Arial" w:cs="Arial"/>
          <w:noProof/>
          <w:sz w:val="22"/>
        </w:rPr>
        <w:tab/>
        <w:t xml:space="preserve">Smith HW. Persistence of tetracycline resistance in pig E. coli. </w:t>
      </w:r>
      <w:r w:rsidRPr="009E0BAE">
        <w:rPr>
          <w:rFonts w:ascii="Arial" w:hAnsi="Arial" w:cs="Arial"/>
          <w:i/>
          <w:iCs/>
          <w:noProof/>
          <w:sz w:val="22"/>
        </w:rPr>
        <w:t>Nature</w:t>
      </w:r>
      <w:r w:rsidRPr="009E0BAE">
        <w:rPr>
          <w:rFonts w:ascii="Arial" w:hAnsi="Arial" w:cs="Arial"/>
          <w:noProof/>
          <w:sz w:val="22"/>
        </w:rPr>
        <w:t xml:space="preserve"> 1975; </w:t>
      </w:r>
      <w:r w:rsidRPr="009E0BAE">
        <w:rPr>
          <w:rFonts w:ascii="Arial" w:hAnsi="Arial" w:cs="Arial"/>
          <w:b/>
          <w:bCs/>
          <w:noProof/>
          <w:sz w:val="22"/>
        </w:rPr>
        <w:t>258</w:t>
      </w:r>
      <w:r w:rsidRPr="009E0BAE">
        <w:rPr>
          <w:rFonts w:ascii="Arial" w:hAnsi="Arial" w:cs="Arial"/>
          <w:noProof/>
          <w:sz w:val="22"/>
        </w:rPr>
        <w:t>: 628–30.</w:t>
      </w:r>
    </w:p>
    <w:p w14:paraId="708BE296"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117</w:t>
      </w:r>
      <w:r w:rsidRPr="009E0BAE">
        <w:rPr>
          <w:rFonts w:ascii="Arial" w:hAnsi="Arial" w:cs="Arial"/>
          <w:noProof/>
          <w:sz w:val="22"/>
        </w:rPr>
        <w:tab/>
        <w:t xml:space="preserve">Emborg H, Ersboll AK, Heuer OE, Wegener HC. The effect of discontinuing the use of antimicrobial growth promoters on the productivity in the Danish broiler production. </w:t>
      </w:r>
      <w:r w:rsidRPr="009E0BAE">
        <w:rPr>
          <w:rFonts w:ascii="Arial" w:hAnsi="Arial" w:cs="Arial"/>
          <w:i/>
          <w:iCs/>
          <w:noProof/>
          <w:sz w:val="22"/>
        </w:rPr>
        <w:t>Prev Vet Med</w:t>
      </w:r>
      <w:r w:rsidRPr="009E0BAE">
        <w:rPr>
          <w:rFonts w:ascii="Arial" w:hAnsi="Arial" w:cs="Arial"/>
          <w:noProof/>
          <w:sz w:val="22"/>
        </w:rPr>
        <w:t xml:space="preserve"> 2001; </w:t>
      </w:r>
      <w:r w:rsidRPr="009E0BAE">
        <w:rPr>
          <w:rFonts w:ascii="Arial" w:hAnsi="Arial" w:cs="Arial"/>
          <w:b/>
          <w:bCs/>
          <w:noProof/>
          <w:sz w:val="22"/>
        </w:rPr>
        <w:t>50</w:t>
      </w:r>
      <w:r w:rsidRPr="009E0BAE">
        <w:rPr>
          <w:rFonts w:ascii="Arial" w:hAnsi="Arial" w:cs="Arial"/>
          <w:noProof/>
          <w:sz w:val="22"/>
        </w:rPr>
        <w:t>: 53–70.</w:t>
      </w:r>
    </w:p>
    <w:p w14:paraId="4180918C"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118</w:t>
      </w:r>
      <w:r w:rsidRPr="009E0BAE">
        <w:rPr>
          <w:rFonts w:ascii="Arial" w:hAnsi="Arial" w:cs="Arial"/>
          <w:noProof/>
          <w:sz w:val="22"/>
        </w:rPr>
        <w:tab/>
        <w:t xml:space="preserve">Aarestrup FM, Jensen VF, Emborg H-D, Jacobsen E, Wegener HC. Changes in the use of antimicrobials and the effects on productivity of swine farms in Denmark. </w:t>
      </w:r>
      <w:r w:rsidRPr="009E0BAE">
        <w:rPr>
          <w:rFonts w:ascii="Arial" w:hAnsi="Arial" w:cs="Arial"/>
          <w:i/>
          <w:iCs/>
          <w:noProof/>
          <w:sz w:val="22"/>
        </w:rPr>
        <w:t>Am J Vet Res</w:t>
      </w:r>
      <w:r w:rsidRPr="009E0BAE">
        <w:rPr>
          <w:rFonts w:ascii="Arial" w:hAnsi="Arial" w:cs="Arial"/>
          <w:noProof/>
          <w:sz w:val="22"/>
        </w:rPr>
        <w:t xml:space="preserve"> 2010; </w:t>
      </w:r>
      <w:r w:rsidRPr="009E0BAE">
        <w:rPr>
          <w:rFonts w:ascii="Arial" w:hAnsi="Arial" w:cs="Arial"/>
          <w:b/>
          <w:bCs/>
          <w:noProof/>
          <w:sz w:val="22"/>
        </w:rPr>
        <w:t>71</w:t>
      </w:r>
      <w:r w:rsidRPr="009E0BAE">
        <w:rPr>
          <w:rFonts w:ascii="Arial" w:hAnsi="Arial" w:cs="Arial"/>
          <w:noProof/>
          <w:sz w:val="22"/>
        </w:rPr>
        <w:t>: 726–33.</w:t>
      </w:r>
    </w:p>
    <w:p w14:paraId="7C5C87D7" w14:textId="77777777" w:rsidR="009E0BAE" w:rsidRPr="009E0BAE" w:rsidRDefault="009E0BAE">
      <w:pPr>
        <w:pStyle w:val="NormalWeb"/>
        <w:ind w:left="640" w:hanging="640"/>
        <w:divId w:val="1648047216"/>
        <w:rPr>
          <w:rFonts w:ascii="Arial" w:hAnsi="Arial" w:cs="Arial"/>
          <w:noProof/>
          <w:sz w:val="22"/>
        </w:rPr>
      </w:pPr>
      <w:r w:rsidRPr="009E0BAE">
        <w:rPr>
          <w:rFonts w:ascii="Arial" w:hAnsi="Arial" w:cs="Arial"/>
          <w:noProof/>
          <w:sz w:val="22"/>
        </w:rPr>
        <w:t>119</w:t>
      </w:r>
      <w:r w:rsidRPr="009E0BAE">
        <w:rPr>
          <w:rFonts w:ascii="Arial" w:hAnsi="Arial" w:cs="Arial"/>
          <w:noProof/>
          <w:sz w:val="22"/>
        </w:rPr>
        <w:tab/>
        <w:t xml:space="preserve">Vigre H, Larsen PB, Andreasen M, Christensen J, Jorsal SE. The effect of discontinued use of antimicrobial growth promoters on the risk of therapeutic antibiotic treatment in Danish farrow-to-finish pig farms. </w:t>
      </w:r>
      <w:r w:rsidRPr="009E0BAE">
        <w:rPr>
          <w:rFonts w:ascii="Arial" w:hAnsi="Arial" w:cs="Arial"/>
          <w:i/>
          <w:iCs/>
          <w:noProof/>
          <w:sz w:val="22"/>
        </w:rPr>
        <w:t>Epidemiol Infect</w:t>
      </w:r>
      <w:r w:rsidRPr="009E0BAE">
        <w:rPr>
          <w:rFonts w:ascii="Arial" w:hAnsi="Arial" w:cs="Arial"/>
          <w:noProof/>
          <w:sz w:val="22"/>
        </w:rPr>
        <w:t xml:space="preserve"> 2008; </w:t>
      </w:r>
      <w:r w:rsidRPr="009E0BAE">
        <w:rPr>
          <w:rFonts w:ascii="Arial" w:hAnsi="Arial" w:cs="Arial"/>
          <w:b/>
          <w:bCs/>
          <w:noProof/>
          <w:sz w:val="22"/>
        </w:rPr>
        <w:t>136</w:t>
      </w:r>
      <w:r w:rsidRPr="009E0BAE">
        <w:rPr>
          <w:rFonts w:ascii="Arial" w:hAnsi="Arial" w:cs="Arial"/>
          <w:noProof/>
          <w:sz w:val="22"/>
        </w:rPr>
        <w:t xml:space="preserve">: 92–107. </w:t>
      </w:r>
    </w:p>
    <w:p w14:paraId="44FE4DA8" w14:textId="4CD6E73F" w:rsidR="00A053CE" w:rsidRPr="000767AE" w:rsidRDefault="00A053CE" w:rsidP="009E0BAE">
      <w:pPr>
        <w:pStyle w:val="NormalWeb"/>
        <w:ind w:left="640" w:hanging="640"/>
        <w:divId w:val="320278398"/>
        <w:sectPr w:rsidR="00A053CE" w:rsidRPr="000767AE" w:rsidSect="007716CC">
          <w:pgSz w:w="11906" w:h="16838" w:code="9"/>
          <w:pgMar w:top="534" w:right="1440" w:bottom="851" w:left="1440" w:header="142" w:footer="709" w:gutter="0"/>
          <w:lnNumType w:countBy="1" w:restart="continuous"/>
          <w:cols w:space="708"/>
          <w:docGrid w:linePitch="360"/>
        </w:sectPr>
      </w:pPr>
      <w:r w:rsidRPr="000767AE">
        <w:rPr>
          <w:rFonts w:ascii="Arial" w:hAnsi="Arial" w:cs="Arial"/>
        </w:rPr>
        <w:fldChar w:fldCharType="end"/>
      </w:r>
    </w:p>
    <w:p w14:paraId="23AC377B" w14:textId="77777777" w:rsidR="001A303C" w:rsidRPr="000767AE" w:rsidRDefault="00B55728" w:rsidP="00984997">
      <w:pPr>
        <w:divId w:val="1073503928"/>
        <w:rPr>
          <w:rFonts w:ascii="Arial" w:hAnsi="Arial" w:cs="Arial"/>
          <w:sz w:val="24"/>
          <w:szCs w:val="24"/>
        </w:rPr>
      </w:pPr>
      <w:r w:rsidRPr="000767AE">
        <w:rPr>
          <w:rFonts w:ascii="Arial" w:hAnsi="Arial" w:cs="Arial"/>
          <w:b/>
          <w:noProof/>
          <w:lang w:eastAsia="en-GB"/>
        </w:rPr>
        <w:lastRenderedPageBreak/>
        <mc:AlternateContent>
          <mc:Choice Requires="wps">
            <w:drawing>
              <wp:anchor distT="0" distB="0" distL="114300" distR="114300" simplePos="0" relativeHeight="251661312" behindDoc="0" locked="0" layoutInCell="1" allowOverlap="1" wp14:anchorId="632728D5" wp14:editId="6687BDBF">
                <wp:simplePos x="0" y="0"/>
                <wp:positionH relativeFrom="column">
                  <wp:posOffset>3238500</wp:posOffset>
                </wp:positionH>
                <wp:positionV relativeFrom="paragraph">
                  <wp:posOffset>3302635</wp:posOffset>
                </wp:positionV>
                <wp:extent cx="850900" cy="176530"/>
                <wp:effectExtent l="184785" t="24765" r="95885" b="0"/>
                <wp:wrapNone/>
                <wp:docPr id="4" name="Curved Down Arrow 4"/>
                <wp:cNvGraphicFramePr/>
                <a:graphic xmlns:a="http://schemas.openxmlformats.org/drawingml/2006/main">
                  <a:graphicData uri="http://schemas.microsoft.com/office/word/2010/wordprocessingShape">
                    <wps:wsp>
                      <wps:cNvSpPr/>
                      <wps:spPr>
                        <a:xfrm rot="6903977">
                          <a:off x="0" y="0"/>
                          <a:ext cx="850900" cy="176530"/>
                        </a:xfrm>
                        <a:prstGeom prst="curvedDownArrow">
                          <a:avLst/>
                        </a:prstGeom>
                        <a:solidFill>
                          <a:srgbClr val="FF0000"/>
                        </a:solidFill>
                        <a:ln>
                          <a:solidFill>
                            <a:srgbClr val="E75B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4" o:spid="_x0000_s1026" type="#_x0000_t105" style="position:absolute;margin-left:255pt;margin-top:260.05pt;width:67pt;height:13.9pt;rotation:754098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" adj="19359,21040,16200" fillcolor="red" strokecolor="#e75b79" strokeweight="2pt"/>
            </w:pict>
          </mc:Fallback>
        </mc:AlternateContent>
      </w:r>
      <w:r w:rsidR="00A053CE" w:rsidRPr="000767AE">
        <w:rPr>
          <w:rFonts w:ascii="Arial" w:hAnsi="Arial" w:cs="Arial"/>
          <w:b/>
          <w:noProof/>
          <w:lang w:eastAsia="en-GB"/>
        </w:rPr>
        <mc:AlternateContent>
          <mc:Choice Requires="wps">
            <w:drawing>
              <wp:anchor distT="0" distB="0" distL="114300" distR="114300" simplePos="0" relativeHeight="251660288" behindDoc="0" locked="0" layoutInCell="1" allowOverlap="1" wp14:anchorId="3A028D56" wp14:editId="0EF4E680">
                <wp:simplePos x="0" y="0"/>
                <wp:positionH relativeFrom="column">
                  <wp:posOffset>4285615</wp:posOffset>
                </wp:positionH>
                <wp:positionV relativeFrom="paragraph">
                  <wp:posOffset>2479040</wp:posOffset>
                </wp:positionV>
                <wp:extent cx="1352550" cy="379095"/>
                <wp:effectExtent l="0" t="19050" r="0" b="59055"/>
                <wp:wrapNone/>
                <wp:docPr id="3" name="Curved Down Arrow 3"/>
                <wp:cNvGraphicFramePr/>
                <a:graphic xmlns:a="http://schemas.openxmlformats.org/drawingml/2006/main">
                  <a:graphicData uri="http://schemas.microsoft.com/office/word/2010/wordprocessingShape">
                    <wps:wsp>
                      <wps:cNvSpPr/>
                      <wps:spPr>
                        <a:xfrm rot="21369197">
                          <a:off x="0" y="0"/>
                          <a:ext cx="1352550" cy="379095"/>
                        </a:xfrm>
                        <a:prstGeom prst="curvedDownArrow">
                          <a:avLst/>
                        </a:prstGeom>
                        <a:solidFill>
                          <a:srgbClr val="FF0000"/>
                        </a:solidFill>
                        <a:ln>
                          <a:solidFill>
                            <a:srgbClr val="E75B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Down Arrow 3" o:spid="_x0000_s1026" type="#_x0000_t105" style="position:absolute;margin-left:337.45pt;margin-top:195.2pt;width:106.5pt;height:29.85pt;rotation:-25209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" adj="18573,20843,16200" fillcolor="red" strokecolor="#e75b79" strokeweight="2pt"/>
            </w:pict>
          </mc:Fallback>
        </mc:AlternateContent>
      </w:r>
      <w:r w:rsidR="00A053CE" w:rsidRPr="000767AE">
        <w:rPr>
          <w:rFonts w:ascii="Arial" w:hAnsi="Arial" w:cs="Arial"/>
          <w:b/>
          <w:noProof/>
          <w:lang w:eastAsia="en-GB"/>
        </w:rPr>
        <w:drawing>
          <wp:anchor distT="0" distB="0" distL="114300" distR="114300" simplePos="0" relativeHeight="251659264" behindDoc="0" locked="0" layoutInCell="1" allowOverlap="1" wp14:anchorId="643B7033" wp14:editId="574C3B1A">
            <wp:simplePos x="0" y="0"/>
            <wp:positionH relativeFrom="column">
              <wp:posOffset>5431790</wp:posOffset>
            </wp:positionH>
            <wp:positionV relativeFrom="paragraph">
              <wp:posOffset>3002915</wp:posOffset>
            </wp:positionV>
            <wp:extent cx="914400" cy="4984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53CE" w:rsidRPr="000767AE">
        <w:rPr>
          <w:rFonts w:ascii="Arial" w:hAnsi="Arial" w:cs="Arial"/>
          <w:b/>
          <w:noProof/>
          <w:lang w:eastAsia="en-GB"/>
        </w:rPr>
        <w:drawing>
          <wp:anchor distT="0" distB="0" distL="114300" distR="114300" simplePos="0" relativeHeight="251664384" behindDoc="0" locked="0" layoutInCell="1" allowOverlap="1" wp14:anchorId="228447D6" wp14:editId="47C4AC17">
            <wp:simplePos x="0" y="0"/>
            <wp:positionH relativeFrom="column">
              <wp:posOffset>2131060</wp:posOffset>
            </wp:positionH>
            <wp:positionV relativeFrom="paragraph">
              <wp:posOffset>2469515</wp:posOffset>
            </wp:positionV>
            <wp:extent cx="914400" cy="4984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53CE" w:rsidRPr="000767AE">
        <w:rPr>
          <w:rFonts w:ascii="Arial" w:hAnsi="Arial" w:cs="Arial"/>
          <w:b/>
          <w:noProof/>
          <w:lang w:eastAsia="en-GB"/>
        </w:rPr>
        <w:drawing>
          <wp:anchor distT="0" distB="0" distL="114300" distR="114300" simplePos="0" relativeHeight="251665408" behindDoc="0" locked="0" layoutInCell="1" allowOverlap="1" wp14:anchorId="5F0AD5E8" wp14:editId="3DBD002B">
            <wp:simplePos x="0" y="0"/>
            <wp:positionH relativeFrom="column">
              <wp:posOffset>2339340</wp:posOffset>
            </wp:positionH>
            <wp:positionV relativeFrom="paragraph">
              <wp:posOffset>4046855</wp:posOffset>
            </wp:positionV>
            <wp:extent cx="914400" cy="4984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4984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053CE" w:rsidRPr="000767AE">
        <w:rPr>
          <w:rFonts w:ascii="Arial" w:hAnsi="Arial" w:cs="Arial"/>
          <w:b/>
          <w:sz w:val="24"/>
          <w:szCs w:val="24"/>
        </w:rPr>
        <w:t>Figure 1</w:t>
      </w:r>
      <w:r w:rsidR="00A053CE" w:rsidRPr="000767AE">
        <w:rPr>
          <w:rFonts w:ascii="Arial" w:hAnsi="Arial" w:cs="Arial"/>
          <w:sz w:val="24"/>
          <w:szCs w:val="24"/>
        </w:rPr>
        <w:t>.</w:t>
      </w:r>
      <w:proofErr w:type="gramEnd"/>
      <w:r w:rsidR="00A053CE" w:rsidRPr="000767AE">
        <w:rPr>
          <w:rFonts w:ascii="Arial" w:hAnsi="Arial" w:cs="Arial"/>
          <w:sz w:val="24"/>
          <w:szCs w:val="24"/>
        </w:rPr>
        <w:t xml:space="preserve"> </w:t>
      </w:r>
    </w:p>
    <w:p w14:paraId="6AF5F215" w14:textId="20D93F1B" w:rsidR="00984997" w:rsidRPr="000767AE" w:rsidRDefault="00A053CE" w:rsidP="00984997">
      <w:pPr>
        <w:divId w:val="1073503928"/>
        <w:rPr>
          <w:rFonts w:ascii="Arial" w:hAnsi="Arial" w:cs="Arial"/>
          <w:sz w:val="24"/>
          <w:szCs w:val="24"/>
        </w:rPr>
      </w:pPr>
      <w:proofErr w:type="gramStart"/>
      <w:r w:rsidRPr="000767AE">
        <w:rPr>
          <w:rFonts w:ascii="Arial" w:hAnsi="Arial" w:cs="Arial"/>
          <w:b/>
          <w:sz w:val="24"/>
          <w:szCs w:val="24"/>
        </w:rPr>
        <w:t>Transmission of genetic material between micro-organisms</w:t>
      </w:r>
      <w:r w:rsidR="00984997" w:rsidRPr="000767AE">
        <w:rPr>
          <w:rFonts w:ascii="Arial" w:hAnsi="Arial" w:cs="Arial"/>
          <w:b/>
          <w:sz w:val="24"/>
          <w:szCs w:val="24"/>
        </w:rPr>
        <w:t>.</w:t>
      </w:r>
      <w:proofErr w:type="gramEnd"/>
      <w:r w:rsidRPr="000767AE">
        <w:rPr>
          <w:rFonts w:ascii="Arial" w:hAnsi="Arial" w:cs="Arial"/>
          <w:sz w:val="24"/>
          <w:szCs w:val="24"/>
        </w:rPr>
        <w:t xml:space="preserve"> </w:t>
      </w:r>
      <w:r w:rsidR="00C239E0" w:rsidRPr="000767AE">
        <w:rPr>
          <w:rFonts w:ascii="Arial" w:hAnsi="Arial" w:cs="Arial"/>
          <w:i/>
          <w:color w:val="FF0000"/>
          <w:sz w:val="16"/>
          <w:szCs w:val="24"/>
        </w:rPr>
        <w:t>(NB. Figure graphics to be further developed with Elsevier illustrator/designer)</w:t>
      </w:r>
    </w:p>
    <w:p w14:paraId="7854F77A" w14:textId="37E7F119" w:rsidR="00984997" w:rsidRPr="000767AE" w:rsidRDefault="003C6438" w:rsidP="00984997">
      <w:pPr>
        <w:divId w:val="1073503928"/>
        <w:rPr>
          <w:rFonts w:ascii="Arial" w:hAnsi="Arial" w:cs="Arial"/>
          <w:sz w:val="24"/>
          <w:szCs w:val="24"/>
        </w:rPr>
      </w:pPr>
      <w:r w:rsidRPr="000767AE">
        <w:rPr>
          <w:rFonts w:ascii="Arial" w:hAnsi="Arial" w:cs="Arial"/>
          <w:b/>
          <w:noProof/>
          <w:lang w:eastAsia="en-GB"/>
        </w:rPr>
        <mc:AlternateContent>
          <mc:Choice Requires="wps">
            <w:drawing>
              <wp:anchor distT="0" distB="0" distL="114300" distR="114300" simplePos="0" relativeHeight="251700224" behindDoc="0" locked="0" layoutInCell="1" allowOverlap="1" wp14:anchorId="5E8720DF" wp14:editId="13CAC459">
                <wp:simplePos x="0" y="0"/>
                <wp:positionH relativeFrom="column">
                  <wp:posOffset>1560250</wp:posOffset>
                </wp:positionH>
                <wp:positionV relativeFrom="paragraph">
                  <wp:posOffset>3596336</wp:posOffset>
                </wp:positionV>
                <wp:extent cx="5158105" cy="461175"/>
                <wp:effectExtent l="0" t="0" r="23495"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461175"/>
                        </a:xfrm>
                        <a:prstGeom prst="rect">
                          <a:avLst/>
                        </a:prstGeom>
                        <a:solidFill>
                          <a:schemeClr val="accent2">
                            <a:lumMod val="20000"/>
                            <a:lumOff val="80000"/>
                          </a:schemeClr>
                        </a:solidFill>
                        <a:ln w="9525">
                          <a:solidFill>
                            <a:schemeClr val="bg1"/>
                          </a:solidFill>
                          <a:miter lim="800000"/>
                          <a:headEnd/>
                          <a:tailEnd/>
                        </a:ln>
                      </wps:spPr>
                      <wps:txbx>
                        <w:txbxContent>
                          <w:p w14:paraId="75CE7E20" w14:textId="77777777" w:rsidR="008F211C" w:rsidRPr="00827B57" w:rsidRDefault="008F211C" w:rsidP="00A053CE">
                            <w:pPr>
                              <w:rPr>
                                <w:rFonts w:ascii="Arial" w:hAnsi="Arial" w:cs="Arial"/>
                                <w:b/>
                                <w:sz w:val="16"/>
                                <w:szCs w:val="24"/>
                                <w:u w:val="single"/>
                              </w:rPr>
                            </w:pPr>
                            <w:r w:rsidRPr="00827B57">
                              <w:rPr>
                                <w:rFonts w:ascii="Arial" w:hAnsi="Arial" w:cs="Arial"/>
                                <w:b/>
                                <w:sz w:val="16"/>
                                <w:szCs w:val="24"/>
                                <w:u w:val="single"/>
                              </w:rPr>
                              <w:t>Transformation:</w:t>
                            </w:r>
                          </w:p>
                          <w:p w14:paraId="0DC98146" w14:textId="06D85EFD" w:rsidR="008F211C" w:rsidRDefault="008F211C" w:rsidP="00A053CE">
                            <w:pPr>
                              <w:rPr>
                                <w:rFonts w:ascii="Arial" w:hAnsi="Arial" w:cs="Arial"/>
                                <w:sz w:val="16"/>
                                <w:szCs w:val="24"/>
                              </w:rPr>
                            </w:pPr>
                            <w:proofErr w:type="gramStart"/>
                            <w:r>
                              <w:rPr>
                                <w:rFonts w:ascii="Arial" w:hAnsi="Arial" w:cs="Arial"/>
                                <w:sz w:val="16"/>
                                <w:szCs w:val="24"/>
                              </w:rPr>
                              <w:t>Some bacteria area able to</w:t>
                            </w:r>
                            <w:r w:rsidRPr="00827B57">
                              <w:rPr>
                                <w:rFonts w:ascii="Arial" w:hAnsi="Arial" w:cs="Arial"/>
                                <w:sz w:val="16"/>
                                <w:szCs w:val="24"/>
                              </w:rPr>
                              <w:t xml:space="preserve"> take up free DNA from the environment and incorporate it into their chromosome.</w:t>
                            </w:r>
                            <w:proofErr w:type="gramEnd"/>
                            <w:r>
                              <w:rPr>
                                <w:rFonts w:ascii="Arial" w:hAnsi="Arial" w:cs="Arial"/>
                                <w:sz w:val="16"/>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2.85pt;margin-top:283.2pt;width:406.15pt;height:3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" fillcolor="#f2dbdb [661]" strokecolor="white [3212]">
                <v:textbox>
                  <w:txbxContent>
                    <w:p w14:paraId="75CE7E20" w14:textId="77777777" w:rsidR="008F211C" w:rsidRPr="00827B57" w:rsidRDefault="008F211C" w:rsidP="00A053CE">
                      <w:pPr>
                        <w:rPr>
                          <w:rFonts w:ascii="Arial" w:hAnsi="Arial" w:cs="Arial"/>
                          <w:b/>
                          <w:sz w:val="16"/>
                          <w:szCs w:val="24"/>
                          <w:u w:val="single"/>
                        </w:rPr>
                      </w:pPr>
                      <w:r w:rsidRPr="00827B57">
                        <w:rPr>
                          <w:rFonts w:ascii="Arial" w:hAnsi="Arial" w:cs="Arial"/>
                          <w:b/>
                          <w:sz w:val="16"/>
                          <w:szCs w:val="24"/>
                          <w:u w:val="single"/>
                        </w:rPr>
                        <w:t>Transformation:</w:t>
                      </w:r>
                    </w:p>
                    <w:p w14:paraId="0DC98146" w14:textId="06D85EFD" w:rsidR="008F211C" w:rsidRDefault="008F211C" w:rsidP="00A053CE">
                      <w:pPr>
                        <w:rPr>
                          <w:rFonts w:ascii="Arial" w:hAnsi="Arial" w:cs="Arial"/>
                          <w:sz w:val="16"/>
                          <w:szCs w:val="24"/>
                        </w:rPr>
                      </w:pPr>
                      <w:proofErr w:type="gramStart"/>
                      <w:r>
                        <w:rPr>
                          <w:rFonts w:ascii="Arial" w:hAnsi="Arial" w:cs="Arial"/>
                          <w:sz w:val="16"/>
                          <w:szCs w:val="24"/>
                        </w:rPr>
                        <w:t>Some bacteria area able to</w:t>
                      </w:r>
                      <w:r w:rsidRPr="00827B57">
                        <w:rPr>
                          <w:rFonts w:ascii="Arial" w:hAnsi="Arial" w:cs="Arial"/>
                          <w:sz w:val="16"/>
                          <w:szCs w:val="24"/>
                        </w:rPr>
                        <w:t xml:space="preserve"> take up free DNA from the environment and incorporate it into their chromosome.</w:t>
                      </w:r>
                      <w:proofErr w:type="gramEnd"/>
                      <w:r>
                        <w:rPr>
                          <w:rFonts w:ascii="Arial" w:hAnsi="Arial" w:cs="Arial"/>
                          <w:sz w:val="16"/>
                          <w:szCs w:val="24"/>
                        </w:rPr>
                        <w:t xml:space="preserve"> </w:t>
                      </w:r>
                    </w:p>
                  </w:txbxContent>
                </v:textbox>
              </v:shape>
            </w:pict>
          </mc:Fallback>
        </mc:AlternateContent>
      </w:r>
      <w:r w:rsidR="003D4C10" w:rsidRPr="000767AE">
        <w:rPr>
          <w:rFonts w:ascii="Arial" w:hAnsi="Arial" w:cs="Arial"/>
          <w:noProof/>
          <w:lang w:eastAsia="en-GB"/>
        </w:rPr>
        <w:drawing>
          <wp:anchor distT="0" distB="0" distL="114300" distR="114300" simplePos="0" relativeHeight="251695104" behindDoc="0" locked="0" layoutInCell="1" allowOverlap="1" wp14:anchorId="0C589166" wp14:editId="4370CC68">
            <wp:simplePos x="0" y="0"/>
            <wp:positionH relativeFrom="column">
              <wp:posOffset>1570008</wp:posOffset>
            </wp:positionH>
            <wp:positionV relativeFrom="paragraph">
              <wp:posOffset>963774</wp:posOffset>
            </wp:positionV>
            <wp:extent cx="5158105" cy="2648310"/>
            <wp:effectExtent l="0" t="0" r="4445"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4825"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C10" w:rsidRPr="000767AE">
        <w:rPr>
          <w:rFonts w:ascii="Arial" w:hAnsi="Arial" w:cs="Arial"/>
          <w:b/>
          <w:noProof/>
          <w:sz w:val="24"/>
          <w:szCs w:val="24"/>
          <w:lang w:eastAsia="en-GB"/>
        </w:rPr>
        <mc:AlternateContent>
          <mc:Choice Requires="wps">
            <w:drawing>
              <wp:anchor distT="0" distB="0" distL="114300" distR="114300" simplePos="0" relativeHeight="251703296" behindDoc="0" locked="0" layoutInCell="1" allowOverlap="1" wp14:anchorId="1AE7D20C" wp14:editId="700EE448">
                <wp:simplePos x="0" y="0"/>
                <wp:positionH relativeFrom="column">
                  <wp:posOffset>137795</wp:posOffset>
                </wp:positionH>
                <wp:positionV relativeFrom="paragraph">
                  <wp:posOffset>195580</wp:posOffset>
                </wp:positionV>
                <wp:extent cx="4062730" cy="647700"/>
                <wp:effectExtent l="0" t="0" r="1397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647700"/>
                        </a:xfrm>
                        <a:prstGeom prst="rect">
                          <a:avLst/>
                        </a:prstGeom>
                        <a:solidFill>
                          <a:srgbClr val="92D050"/>
                        </a:solidFill>
                        <a:ln w="9525">
                          <a:solidFill>
                            <a:schemeClr val="bg1"/>
                          </a:solidFill>
                          <a:miter lim="800000"/>
                          <a:headEnd/>
                          <a:tailEnd/>
                        </a:ln>
                      </wps:spPr>
                      <wps:txbx>
                        <w:txbxContent>
                          <w:p w14:paraId="43C06494" w14:textId="77777777" w:rsidR="008F211C" w:rsidRPr="00827B57" w:rsidRDefault="008F211C" w:rsidP="00A053CE">
                            <w:pPr>
                              <w:rPr>
                                <w:rFonts w:ascii="Arial" w:hAnsi="Arial" w:cs="Arial"/>
                                <w:b/>
                                <w:sz w:val="16"/>
                                <w:szCs w:val="24"/>
                                <w:u w:val="single"/>
                              </w:rPr>
                            </w:pPr>
                            <w:r w:rsidRPr="00827B57">
                              <w:rPr>
                                <w:rFonts w:ascii="Arial" w:hAnsi="Arial" w:cs="Arial"/>
                                <w:b/>
                                <w:sz w:val="16"/>
                                <w:szCs w:val="24"/>
                                <w:u w:val="single"/>
                              </w:rPr>
                              <w:t>Transduction:</w:t>
                            </w:r>
                          </w:p>
                          <w:p w14:paraId="46DF49FF" w14:textId="503A82F0" w:rsidR="008F211C" w:rsidRDefault="008F211C" w:rsidP="00A053CE">
                            <w:pPr>
                              <w:rPr>
                                <w:rFonts w:ascii="Arial" w:hAnsi="Arial" w:cs="Arial"/>
                                <w:sz w:val="16"/>
                                <w:szCs w:val="24"/>
                              </w:rPr>
                            </w:pPr>
                            <w:r w:rsidRPr="00827B57">
                              <w:rPr>
                                <w:rFonts w:ascii="Arial" w:hAnsi="Arial" w:cs="Arial"/>
                                <w:sz w:val="16"/>
                                <w:szCs w:val="24"/>
                              </w:rPr>
                              <w:t>Bacteriophages (viruses that infect bacteria) mediate transfer of DNA between bacteria via transduction, whereby DNA from a donor bacterium is packaged into a virus particle and transferred into a recipie</w:t>
                            </w:r>
                            <w:r>
                              <w:rPr>
                                <w:rFonts w:ascii="Arial" w:hAnsi="Arial" w:cs="Arial"/>
                                <w:sz w:val="16"/>
                                <w:szCs w:val="24"/>
                              </w:rPr>
                              <w:t>nt bacterium during infection.</w:t>
                            </w:r>
                          </w:p>
                          <w:p w14:paraId="7F26995E" w14:textId="77777777" w:rsidR="008F211C" w:rsidRPr="00827B57" w:rsidRDefault="008F211C" w:rsidP="00A053CE">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85pt;margin-top:15.4pt;width:319.9pt;height: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" fillcolor="#92d050" strokecolor="white [3212]">
                <v:textbox>
                  <w:txbxContent>
                    <w:p w14:paraId="43C06494" w14:textId="77777777" w:rsidR="008F211C" w:rsidRPr="00827B57" w:rsidRDefault="008F211C" w:rsidP="00A053CE">
                      <w:pPr>
                        <w:rPr>
                          <w:rFonts w:ascii="Arial" w:hAnsi="Arial" w:cs="Arial"/>
                          <w:b/>
                          <w:sz w:val="16"/>
                          <w:szCs w:val="24"/>
                          <w:u w:val="single"/>
                        </w:rPr>
                      </w:pPr>
                      <w:r w:rsidRPr="00827B57">
                        <w:rPr>
                          <w:rFonts w:ascii="Arial" w:hAnsi="Arial" w:cs="Arial"/>
                          <w:b/>
                          <w:sz w:val="16"/>
                          <w:szCs w:val="24"/>
                          <w:u w:val="single"/>
                        </w:rPr>
                        <w:t>Transduction:</w:t>
                      </w:r>
                    </w:p>
                    <w:p w14:paraId="46DF49FF" w14:textId="503A82F0" w:rsidR="008F211C" w:rsidRDefault="008F211C" w:rsidP="00A053CE">
                      <w:pPr>
                        <w:rPr>
                          <w:rFonts w:ascii="Arial" w:hAnsi="Arial" w:cs="Arial"/>
                          <w:sz w:val="16"/>
                          <w:szCs w:val="24"/>
                        </w:rPr>
                      </w:pPr>
                      <w:r w:rsidRPr="00827B57">
                        <w:rPr>
                          <w:rFonts w:ascii="Arial" w:hAnsi="Arial" w:cs="Arial"/>
                          <w:sz w:val="16"/>
                          <w:szCs w:val="24"/>
                        </w:rPr>
                        <w:t>Bacteriophages (viruses that infect bacteria) mediate transfer of DNA between bacteria via transduction, whereby DNA from a donor bacterium is packaged into a virus particle and transferred into a recipie</w:t>
                      </w:r>
                      <w:r>
                        <w:rPr>
                          <w:rFonts w:ascii="Arial" w:hAnsi="Arial" w:cs="Arial"/>
                          <w:sz w:val="16"/>
                          <w:szCs w:val="24"/>
                        </w:rPr>
                        <w:t>nt bacterium during infection.</w:t>
                      </w:r>
                    </w:p>
                    <w:p w14:paraId="7F26995E" w14:textId="77777777" w:rsidR="008F211C" w:rsidRPr="00827B57" w:rsidRDefault="008F211C" w:rsidP="00A053CE">
                      <w:pPr>
                        <w:rPr>
                          <w:sz w:val="14"/>
                        </w:rPr>
                      </w:pPr>
                    </w:p>
                  </w:txbxContent>
                </v:textbox>
              </v:shape>
            </w:pict>
          </mc:Fallback>
        </mc:AlternateContent>
      </w:r>
      <w:r w:rsidR="003D4C10" w:rsidRPr="000767AE">
        <w:rPr>
          <w:rFonts w:ascii="Arial" w:hAnsi="Arial" w:cs="Arial"/>
          <w:b/>
          <w:noProof/>
          <w:lang w:eastAsia="en-GB"/>
        </w:rPr>
        <mc:AlternateContent>
          <mc:Choice Requires="wps">
            <w:drawing>
              <wp:anchor distT="0" distB="0" distL="114300" distR="114300" simplePos="0" relativeHeight="251705344" behindDoc="0" locked="0" layoutInCell="1" allowOverlap="1" wp14:anchorId="16BC5820" wp14:editId="58191596">
                <wp:simplePos x="0" y="0"/>
                <wp:positionH relativeFrom="column">
                  <wp:posOffset>4276135</wp:posOffset>
                </wp:positionH>
                <wp:positionV relativeFrom="paragraph">
                  <wp:posOffset>196023</wp:posOffset>
                </wp:positionV>
                <wp:extent cx="4425773" cy="64706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773" cy="647065"/>
                        </a:xfrm>
                        <a:prstGeom prst="rect">
                          <a:avLst/>
                        </a:prstGeom>
                        <a:solidFill>
                          <a:srgbClr val="FFFF00"/>
                        </a:solidFill>
                        <a:ln w="9525">
                          <a:noFill/>
                          <a:miter lim="800000"/>
                          <a:headEnd/>
                          <a:tailEnd/>
                        </a:ln>
                      </wps:spPr>
                      <wps:txbx>
                        <w:txbxContent>
                          <w:p w14:paraId="0AF92EA2" w14:textId="77777777" w:rsidR="008F211C" w:rsidRPr="00827B57" w:rsidRDefault="008F211C" w:rsidP="00A053CE">
                            <w:pPr>
                              <w:rPr>
                                <w:rFonts w:ascii="Arial" w:hAnsi="Arial" w:cs="Arial"/>
                                <w:b/>
                                <w:sz w:val="16"/>
                                <w:szCs w:val="16"/>
                                <w:u w:val="single"/>
                              </w:rPr>
                            </w:pPr>
                            <w:r w:rsidRPr="00827B57">
                              <w:rPr>
                                <w:rFonts w:ascii="Arial" w:hAnsi="Arial" w:cs="Arial"/>
                                <w:b/>
                                <w:sz w:val="16"/>
                                <w:szCs w:val="16"/>
                                <w:u w:val="single"/>
                              </w:rPr>
                              <w:t>Conjugation:</w:t>
                            </w:r>
                          </w:p>
                          <w:p w14:paraId="147EAF22" w14:textId="67986E78" w:rsidR="008F211C" w:rsidRPr="00FD4A42" w:rsidRDefault="008F211C" w:rsidP="00A053CE">
                            <w:pPr>
                              <w:rPr>
                                <w:sz w:val="16"/>
                                <w:szCs w:val="16"/>
                              </w:rPr>
                            </w:pPr>
                            <w:proofErr w:type="gramStart"/>
                            <w:r>
                              <w:rPr>
                                <w:rFonts w:ascii="Arial" w:hAnsi="Arial" w:cs="Arial"/>
                                <w:sz w:val="16"/>
                                <w:szCs w:val="16"/>
                              </w:rPr>
                              <w:t>T</w:t>
                            </w:r>
                            <w:r w:rsidRPr="00FD4A42">
                              <w:rPr>
                                <w:rFonts w:ascii="Arial" w:hAnsi="Arial" w:cs="Arial"/>
                                <w:sz w:val="16"/>
                                <w:szCs w:val="16"/>
                              </w:rPr>
                              <w:t xml:space="preserve">he mechanism of gene transfer responsible for the </w:t>
                            </w:r>
                            <w:r>
                              <w:rPr>
                                <w:rFonts w:ascii="Arial" w:hAnsi="Arial" w:cs="Arial"/>
                                <w:sz w:val="16"/>
                                <w:szCs w:val="16"/>
                              </w:rPr>
                              <w:t>most concerning aspects of AMR; a</w:t>
                            </w:r>
                            <w:r w:rsidRPr="00FD4A42">
                              <w:rPr>
                                <w:rFonts w:ascii="Arial" w:hAnsi="Arial" w:cs="Arial"/>
                                <w:sz w:val="16"/>
                                <w:szCs w:val="16"/>
                              </w:rPr>
                              <w:t xml:space="preserve"> sex pilus (small tube) forms between two bacterial cells through which a plasmid is transferred from one to the other.</w:t>
                            </w:r>
                            <w:proofErr w:type="gramEnd"/>
                            <w:r w:rsidRPr="00FD4A42">
                              <w:rPr>
                                <w:rFonts w:ascii="Arial" w:hAnsi="Arial" w:cs="Arial"/>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6.7pt;margin-top:15.45pt;width:348.5pt;height:50.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" fillcolor="yellow" stroked="f">
                <v:textbox>
                  <w:txbxContent>
                    <w:p w14:paraId="0AF92EA2" w14:textId="77777777" w:rsidR="008F211C" w:rsidRPr="00827B57" w:rsidRDefault="008F211C" w:rsidP="00A053CE">
                      <w:pPr>
                        <w:rPr>
                          <w:rFonts w:ascii="Arial" w:hAnsi="Arial" w:cs="Arial"/>
                          <w:b/>
                          <w:sz w:val="16"/>
                          <w:szCs w:val="16"/>
                          <w:u w:val="single"/>
                        </w:rPr>
                      </w:pPr>
                      <w:r w:rsidRPr="00827B57">
                        <w:rPr>
                          <w:rFonts w:ascii="Arial" w:hAnsi="Arial" w:cs="Arial"/>
                          <w:b/>
                          <w:sz w:val="16"/>
                          <w:szCs w:val="16"/>
                          <w:u w:val="single"/>
                        </w:rPr>
                        <w:t>Conjugation:</w:t>
                      </w:r>
                    </w:p>
                    <w:p w14:paraId="147EAF22" w14:textId="67986E78" w:rsidR="008F211C" w:rsidRPr="00FD4A42" w:rsidRDefault="008F211C" w:rsidP="00A053CE">
                      <w:pPr>
                        <w:rPr>
                          <w:sz w:val="16"/>
                          <w:szCs w:val="16"/>
                        </w:rPr>
                      </w:pPr>
                      <w:proofErr w:type="gramStart"/>
                      <w:r>
                        <w:rPr>
                          <w:rFonts w:ascii="Arial" w:hAnsi="Arial" w:cs="Arial"/>
                          <w:sz w:val="16"/>
                          <w:szCs w:val="16"/>
                        </w:rPr>
                        <w:t>T</w:t>
                      </w:r>
                      <w:r w:rsidRPr="00FD4A42">
                        <w:rPr>
                          <w:rFonts w:ascii="Arial" w:hAnsi="Arial" w:cs="Arial"/>
                          <w:sz w:val="16"/>
                          <w:szCs w:val="16"/>
                        </w:rPr>
                        <w:t xml:space="preserve">he mechanism of gene transfer responsible for the </w:t>
                      </w:r>
                      <w:r>
                        <w:rPr>
                          <w:rFonts w:ascii="Arial" w:hAnsi="Arial" w:cs="Arial"/>
                          <w:sz w:val="16"/>
                          <w:szCs w:val="16"/>
                        </w:rPr>
                        <w:t>most concerning aspects of AMR; a</w:t>
                      </w:r>
                      <w:r w:rsidRPr="00FD4A42">
                        <w:rPr>
                          <w:rFonts w:ascii="Arial" w:hAnsi="Arial" w:cs="Arial"/>
                          <w:sz w:val="16"/>
                          <w:szCs w:val="16"/>
                        </w:rPr>
                        <w:t xml:space="preserve"> sex pilus (small tube) forms between two bacterial cells through which a plasmid is transferred from one to the other.</w:t>
                      </w:r>
                      <w:proofErr w:type="gramEnd"/>
                      <w:r w:rsidRPr="00FD4A42">
                        <w:rPr>
                          <w:rFonts w:ascii="Arial" w:hAnsi="Arial" w:cs="Arial"/>
                          <w:sz w:val="16"/>
                          <w:szCs w:val="16"/>
                        </w:rPr>
                        <w:t xml:space="preserve"> </w:t>
                      </w:r>
                    </w:p>
                  </w:txbxContent>
                </v:textbox>
              </v:shape>
            </w:pict>
          </mc:Fallback>
        </mc:AlternateContent>
      </w:r>
      <w:r w:rsidR="003D4C10" w:rsidRPr="000767AE">
        <w:rPr>
          <w:rFonts w:ascii="Arial" w:hAnsi="Arial" w:cs="Arial"/>
          <w:b/>
          <w:noProof/>
          <w:lang w:eastAsia="en-GB"/>
        </w:rPr>
        <mc:AlternateContent>
          <mc:Choice Requires="wps">
            <w:drawing>
              <wp:anchor distT="0" distB="0" distL="114300" distR="114300" simplePos="0" relativeHeight="251701248" behindDoc="0" locked="0" layoutInCell="1" allowOverlap="1" wp14:anchorId="16D316FF" wp14:editId="6BA7C668">
                <wp:simplePos x="0" y="0"/>
                <wp:positionH relativeFrom="column">
                  <wp:posOffset>111760</wp:posOffset>
                </wp:positionH>
                <wp:positionV relativeFrom="paragraph">
                  <wp:posOffset>4155440</wp:posOffset>
                </wp:positionV>
                <wp:extent cx="6616065" cy="800735"/>
                <wp:effectExtent l="0" t="0" r="13335" b="18415"/>
                <wp:wrapNone/>
                <wp:docPr id="14" name="Text Box 14"/>
                <wp:cNvGraphicFramePr/>
                <a:graphic xmlns:a="http://schemas.openxmlformats.org/drawingml/2006/main">
                  <a:graphicData uri="http://schemas.microsoft.com/office/word/2010/wordprocessingShape">
                    <wps:wsp>
                      <wps:cNvSpPr txBox="1"/>
                      <wps:spPr>
                        <a:xfrm>
                          <a:off x="0" y="0"/>
                          <a:ext cx="6616065" cy="800735"/>
                        </a:xfrm>
                        <a:prstGeom prst="rect">
                          <a:avLst/>
                        </a:prstGeom>
                        <a:solidFill>
                          <a:schemeClr val="accent2">
                            <a:lumMod val="20000"/>
                            <a:lumOff val="8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001961" w14:textId="78304B2B" w:rsidR="008F211C" w:rsidRPr="00827B57" w:rsidRDefault="008F211C" w:rsidP="00A053CE">
                            <w:pPr>
                              <w:rPr>
                                <w:rFonts w:ascii="Arial" w:hAnsi="Arial" w:cs="Arial"/>
                                <w:b/>
                                <w:sz w:val="16"/>
                                <w:szCs w:val="24"/>
                                <w:u w:val="single"/>
                              </w:rPr>
                            </w:pPr>
                            <w:r w:rsidRPr="00827B57">
                              <w:rPr>
                                <w:rFonts w:ascii="Arial" w:hAnsi="Arial" w:cs="Arial"/>
                                <w:b/>
                                <w:sz w:val="16"/>
                                <w:szCs w:val="24"/>
                                <w:u w:val="single"/>
                              </w:rPr>
                              <w:t xml:space="preserve">Clinical </w:t>
                            </w:r>
                            <w:r>
                              <w:rPr>
                                <w:rFonts w:ascii="Arial" w:hAnsi="Arial" w:cs="Arial"/>
                                <w:b/>
                                <w:sz w:val="16"/>
                                <w:szCs w:val="24"/>
                                <w:u w:val="single"/>
                              </w:rPr>
                              <w:t>examples</w:t>
                            </w:r>
                            <w:r w:rsidRPr="00827B57">
                              <w:rPr>
                                <w:rFonts w:ascii="Arial" w:hAnsi="Arial" w:cs="Arial"/>
                                <w:b/>
                                <w:sz w:val="16"/>
                                <w:szCs w:val="24"/>
                                <w:u w:val="single"/>
                              </w:rPr>
                              <w:t>:</w:t>
                            </w:r>
                          </w:p>
                          <w:p w14:paraId="5ADAA1E3" w14:textId="5B32A250" w:rsidR="008F211C" w:rsidRPr="00827B57" w:rsidRDefault="008F211C" w:rsidP="00A053CE">
                            <w:pPr>
                              <w:rPr>
                                <w:sz w:val="8"/>
                                <w:szCs w:val="16"/>
                              </w:rPr>
                            </w:pPr>
                            <w:r w:rsidRPr="00827B57">
                              <w:rPr>
                                <w:rFonts w:ascii="Arial" w:hAnsi="Arial" w:cs="Arial"/>
                                <w:sz w:val="16"/>
                                <w:szCs w:val="24"/>
                              </w:rPr>
                              <w:t xml:space="preserve">Bacteria residing in host mucosa such as the human respiratory tract (e.g. </w:t>
                            </w:r>
                            <w:r w:rsidRPr="00827B57">
                              <w:rPr>
                                <w:rFonts w:ascii="Arial" w:hAnsi="Arial" w:cs="Arial"/>
                                <w:i/>
                                <w:sz w:val="16"/>
                                <w:szCs w:val="24"/>
                              </w:rPr>
                              <w:t>Streptococcus pneumoniae</w:t>
                            </w:r>
                            <w:r w:rsidRPr="00827B57">
                              <w:rPr>
                                <w:rFonts w:ascii="Arial" w:hAnsi="Arial" w:cs="Arial"/>
                                <w:sz w:val="16"/>
                                <w:szCs w:val="24"/>
                              </w:rPr>
                              <w:t xml:space="preserve"> and </w:t>
                            </w:r>
                            <w:r w:rsidRPr="00827B57">
                              <w:rPr>
                                <w:rFonts w:ascii="Arial" w:hAnsi="Arial" w:cs="Arial"/>
                                <w:i/>
                                <w:sz w:val="16"/>
                                <w:szCs w:val="24"/>
                              </w:rPr>
                              <w:t>Haemophilus influenzae</w:t>
                            </w:r>
                            <w:r w:rsidRPr="00827B57">
                              <w:rPr>
                                <w:rFonts w:ascii="Arial" w:hAnsi="Arial" w:cs="Arial"/>
                                <w:sz w:val="16"/>
                                <w:szCs w:val="24"/>
                              </w:rPr>
                              <w:t xml:space="preserve">) or genital tract (e.g. </w:t>
                            </w:r>
                            <w:r w:rsidRPr="00827B57">
                              <w:rPr>
                                <w:rFonts w:ascii="Arial" w:hAnsi="Arial" w:cs="Arial"/>
                                <w:i/>
                                <w:sz w:val="16"/>
                                <w:szCs w:val="24"/>
                              </w:rPr>
                              <w:t>Neisseria gonorrhoeae</w:t>
                            </w:r>
                            <w:r w:rsidRPr="00827B57">
                              <w:rPr>
                                <w:rFonts w:ascii="Arial" w:hAnsi="Arial" w:cs="Arial"/>
                                <w:sz w:val="16"/>
                                <w:szCs w:val="24"/>
                              </w:rPr>
                              <w:t>) are naturally transformable</w:t>
                            </w:r>
                            <w:r>
                              <w:rPr>
                                <w:rFonts w:ascii="Arial" w:hAnsi="Arial" w:cs="Arial"/>
                                <w:sz w:val="16"/>
                                <w:szCs w:val="24"/>
                              </w:rPr>
                              <w:t xml:space="preserve">. </w:t>
                            </w:r>
                            <w:r w:rsidRPr="00827B57">
                              <w:rPr>
                                <w:rFonts w:ascii="Arial" w:hAnsi="Arial" w:cs="Arial"/>
                                <w:sz w:val="16"/>
                                <w:szCs w:val="24"/>
                              </w:rPr>
                              <w:t xml:space="preserve">Recombination of foreign DNA acquired from closely related species, such as </w:t>
                            </w:r>
                            <w:r w:rsidRPr="00827B57">
                              <w:rPr>
                                <w:rFonts w:ascii="Arial" w:hAnsi="Arial" w:cs="Arial"/>
                                <w:i/>
                                <w:sz w:val="16"/>
                                <w:szCs w:val="24"/>
                              </w:rPr>
                              <w:t xml:space="preserve">S. </w:t>
                            </w:r>
                            <w:proofErr w:type="spellStart"/>
                            <w:r w:rsidRPr="00827B57">
                              <w:rPr>
                                <w:rFonts w:ascii="Arial" w:hAnsi="Arial" w:cs="Arial"/>
                                <w:i/>
                                <w:sz w:val="16"/>
                                <w:szCs w:val="24"/>
                              </w:rPr>
                              <w:t>mitis</w:t>
                            </w:r>
                            <w:proofErr w:type="spellEnd"/>
                            <w:r w:rsidRPr="00827B57">
                              <w:rPr>
                                <w:rFonts w:ascii="Arial" w:hAnsi="Arial" w:cs="Arial"/>
                                <w:sz w:val="16"/>
                                <w:szCs w:val="24"/>
                              </w:rPr>
                              <w:t xml:space="preserve"> with that of </w:t>
                            </w:r>
                            <w:r w:rsidRPr="00827B57">
                              <w:rPr>
                                <w:rFonts w:ascii="Arial" w:hAnsi="Arial" w:cs="Arial"/>
                                <w:i/>
                                <w:sz w:val="16"/>
                                <w:szCs w:val="24"/>
                              </w:rPr>
                              <w:t>S. pneumoniae,</w:t>
                            </w:r>
                            <w:r w:rsidRPr="00827B57">
                              <w:rPr>
                                <w:rFonts w:ascii="Arial" w:hAnsi="Arial" w:cs="Arial"/>
                                <w:sz w:val="16"/>
                                <w:szCs w:val="24"/>
                              </w:rPr>
                              <w:t xml:space="preserve"> confers penicillin resistance via the formation of mosaic </w:t>
                            </w:r>
                            <w:r w:rsidRPr="00827B57">
                              <w:rPr>
                                <w:rFonts w:ascii="Arial" w:hAnsi="Arial"/>
                                <w:sz w:val="16"/>
                              </w:rPr>
                              <w:t>genes (i.e. genes that can contain DNA from more than one species of highly related micro-organism).  The mosaic penicillin-binding protein (</w:t>
                            </w:r>
                            <w:proofErr w:type="spellStart"/>
                            <w:r w:rsidRPr="00827B57">
                              <w:rPr>
                                <w:rFonts w:ascii="Arial" w:hAnsi="Arial" w:cs="Arial"/>
                                <w:i/>
                                <w:sz w:val="16"/>
                                <w:szCs w:val="24"/>
                              </w:rPr>
                              <w:t>pbp</w:t>
                            </w:r>
                            <w:proofErr w:type="spellEnd"/>
                            <w:r w:rsidRPr="00827B57">
                              <w:rPr>
                                <w:rFonts w:ascii="Arial" w:hAnsi="Arial" w:cs="Arial"/>
                                <w:i/>
                                <w:sz w:val="16"/>
                                <w:szCs w:val="24"/>
                              </w:rPr>
                              <w:t>)</w:t>
                            </w:r>
                            <w:r w:rsidRPr="00827B57">
                              <w:rPr>
                                <w:rFonts w:ascii="Arial" w:hAnsi="Arial" w:cs="Arial"/>
                                <w:sz w:val="16"/>
                                <w:szCs w:val="24"/>
                              </w:rPr>
                              <w:t xml:space="preserve"> gene gives rise to a new target protein which is resistant to penicillin.  Likewise, in </w:t>
                            </w:r>
                            <w:r w:rsidRPr="00827B57">
                              <w:rPr>
                                <w:rFonts w:ascii="Arial" w:hAnsi="Arial" w:cs="Arial"/>
                                <w:i/>
                                <w:sz w:val="16"/>
                                <w:szCs w:val="24"/>
                              </w:rPr>
                              <w:t>N. gonorrhoeae,</w:t>
                            </w:r>
                            <w:r w:rsidRPr="00827B57">
                              <w:rPr>
                                <w:rFonts w:ascii="Arial" w:hAnsi="Arial" w:cs="Arial"/>
                                <w:sz w:val="16"/>
                                <w:szCs w:val="24"/>
                              </w:rPr>
                              <w:t xml:space="preserve"> a mosaic </w:t>
                            </w:r>
                            <w:proofErr w:type="spellStart"/>
                            <w:r w:rsidRPr="00827B57">
                              <w:rPr>
                                <w:rFonts w:ascii="Arial" w:hAnsi="Arial" w:cs="Arial"/>
                                <w:i/>
                                <w:sz w:val="16"/>
                                <w:szCs w:val="24"/>
                              </w:rPr>
                              <w:t>penA</w:t>
                            </w:r>
                            <w:proofErr w:type="spellEnd"/>
                            <w:r w:rsidRPr="00827B57">
                              <w:rPr>
                                <w:rFonts w:ascii="Arial" w:hAnsi="Arial" w:cs="Arial"/>
                                <w:sz w:val="16"/>
                                <w:szCs w:val="24"/>
                              </w:rPr>
                              <w:t xml:space="preserve"> gene is associated with ceftriaxone resistance.</w:t>
                            </w:r>
                            <w:r w:rsidRPr="00827B57">
                              <w:rPr>
                                <w:rFonts w:ascii="Arial" w:hAnsi="Arial" w:cs="Arial"/>
                                <w:sz w:val="16"/>
                                <w:szCs w:val="24"/>
                              </w:rPr>
                              <w:fldChar w:fldCharType="begin" w:fldLock="1"/>
                            </w:r>
                            <w:r w:rsidR="009E0BAE">
                              <w:rPr>
                                <w:rFonts w:ascii="Arial" w:hAnsi="Arial" w:cs="Arial"/>
                                <w:sz w:val="16"/>
                                <w:szCs w:val="24"/>
                              </w:rPr>
                              <w:instrText>ADDIN CSL_CITATION { "citationItems" : [ { "id" : "ITEM-1", "itemData" : { "DOI" : "10.1128/AAC.05760-11", "ISSN" : "1098-6596", "PMID" : "22155830", "abstract" : "Recently, the first Neisseria gonorrhoeae strain (H041) highly resistant to the expanded-spectrum cephalosporins (ESCs) ceftriaxone and cefixime, which are the last remaining options for first-line gonorrhea treatment, was isolated in Japan. Here, we confirm and characterize a second strain (F89) with high-level cefixime and ceftriaxone resistance which was isolated in France and most likely caused a treatment failure with cefixime. F89 was examined using six species-confirmatory tests, antibiograms (33 antimicrobials), porB sequencing, N. gonorrhoeae multiantigen sequence typing (NG-MAST), multilocus sequence typing (MLST), and sequencing of known gonococcal resistance determinants (penA, mtrR, penB, ponA, and pilQ). F89 was assigned to MLST sequence type 1901 (ST1901) and NG-MAST ST1407, which is a successful gonococcal clone that has spread globally. F89 has high-level resistance to cefixime (MIC = 4 \u03bcg/ml) and ceftriaxone (MIC = 1 to 2 \u03bcg/ml) and resistance to most other antimicrobials examined. A novel penA mosaic allele (penA-CI), which was penA-XXXIV with an additional A501P alteration in penicillin-binding protein 2, was the primary determinant for high-level ESC resistance, as determined by transformation into a set of recipient strains. N. gonorrhoeae appears to be emerging as a superbug, and in certain circumstances and settings, gonorrhea may become untreatable. Investigations of the biological fitness and enhanced understanding and monitoring of the ESC-resistant clones and their international transmission are required. Enhanced disease control activities, antimicrobial resistance control and surveillance worldwide, and public health response plans for global (and national) perspectives are also crucial. Nevertheless, new treatment strategies and/or drugs and, ideally, a vaccine are essential to develop for efficacious gonorrhea management.", "author" : [ { "dropping-particle" : "", "family" : "Unemo", "given" : "Magnus", "non-dropping-particle" : "", "parse-names" : false, "suffix" : "" }, { "dropping-particle" : "", "family" : "Golparian", "given" : "Daniel", "non-dropping-particle" : "", "parse-names" : false, "suffix" : "" }, { "dropping-particle" : "", "family" : "Nicholas", "given" : "Robert", "non-dropping-particle" : "", "parse-names" : false, "suffix" : "" }, { "dropping-particle" : "", "family" : "Ohnishi", "given" : "Makoto", "non-dropping-particle" : "", "parse-names" : false, "suffix" : "" }, { "dropping-particle" : "", "family" : "Gallay", "given" : "Anne", "non-dropping-particle" : "", "parse-names" : false, "suffix" : "" }, { "dropping-particle" : "", "family" : "Sednaoui", "given" : "Patrice", "non-dropping-particle" : "", "parse-names" : false, "suffix" : "" } ], "container-title" : "Antimicrobial Agents and Chemotherapy", "id" : "ITEM-1", "issue" : "3", "issued" : { "date-parts" : [ [ "2012", "3" ] ] }, "page" : "1273-80", "title" : "High-level cefixime- and ceftriaxone-resistant Neisseria gonorrhoeae in France: novel penA mosaic allele in a successful international clone causes treatment failure.", "type" : "article-journal", "volume" : "56" }, "uris" : [ "http://www.mendeley.com/documents/?uuid=b0d69a8b-6449-4192-bbb0-87d4eec3a10d" ] } ], "mendeley" : { "formattedCitation" : "&lt;sup&gt;38&lt;/sup&gt;", "plainTextFormattedCitation" : "38", "previouslyFormattedCitation" : "&lt;sup&gt;39&lt;/sup&gt;" }, "properties" : { "noteIndex" : 0 }, "schema" : "https://github.com/citation-style-language/schema/raw/master/csl-citation.json" }</w:instrText>
                            </w:r>
                            <w:r w:rsidRPr="00827B57">
                              <w:rPr>
                                <w:rFonts w:ascii="Arial" w:hAnsi="Arial" w:cs="Arial"/>
                                <w:sz w:val="16"/>
                                <w:szCs w:val="24"/>
                              </w:rPr>
                              <w:fldChar w:fldCharType="separate"/>
                            </w:r>
                            <w:r w:rsidR="009E0BAE" w:rsidRPr="009E0BAE">
                              <w:rPr>
                                <w:rFonts w:ascii="Arial" w:hAnsi="Arial" w:cs="Arial"/>
                                <w:noProof/>
                                <w:sz w:val="16"/>
                                <w:szCs w:val="24"/>
                                <w:vertAlign w:val="superscript"/>
                              </w:rPr>
                              <w:t>38</w:t>
                            </w:r>
                            <w:r w:rsidRPr="00827B57">
                              <w:rPr>
                                <w:rFonts w:ascii="Arial" w:hAnsi="Arial" w:cs="Arial"/>
                                <w:sz w:val="16"/>
                                <w:szCs w:val="24"/>
                              </w:rPr>
                              <w:fldChar w:fldCharType="end"/>
                            </w:r>
                          </w:p>
                          <w:p w14:paraId="108160DA" w14:textId="77777777" w:rsidR="008F211C" w:rsidRDefault="008F211C" w:rsidP="00A05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8.8pt;margin-top:327.2pt;width:520.95pt;height:6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" fillcolor="#f2dbdb [661]" strokecolor="white [3212]" strokeweight=".5pt">
                <v:textbox>
                  <w:txbxContent>
                    <w:p w14:paraId="6C001961" w14:textId="78304B2B" w:rsidR="008F211C" w:rsidRPr="00827B57" w:rsidRDefault="008F211C" w:rsidP="00A053CE">
                      <w:pPr>
                        <w:rPr>
                          <w:rFonts w:ascii="Arial" w:hAnsi="Arial" w:cs="Arial"/>
                          <w:b/>
                          <w:sz w:val="16"/>
                          <w:szCs w:val="24"/>
                          <w:u w:val="single"/>
                        </w:rPr>
                      </w:pPr>
                      <w:r w:rsidRPr="00827B57">
                        <w:rPr>
                          <w:rFonts w:ascii="Arial" w:hAnsi="Arial" w:cs="Arial"/>
                          <w:b/>
                          <w:sz w:val="16"/>
                          <w:szCs w:val="24"/>
                          <w:u w:val="single"/>
                        </w:rPr>
                        <w:t xml:space="preserve">Clinical </w:t>
                      </w:r>
                      <w:r>
                        <w:rPr>
                          <w:rFonts w:ascii="Arial" w:hAnsi="Arial" w:cs="Arial"/>
                          <w:b/>
                          <w:sz w:val="16"/>
                          <w:szCs w:val="24"/>
                          <w:u w:val="single"/>
                        </w:rPr>
                        <w:t>examples</w:t>
                      </w:r>
                      <w:r w:rsidRPr="00827B57">
                        <w:rPr>
                          <w:rFonts w:ascii="Arial" w:hAnsi="Arial" w:cs="Arial"/>
                          <w:b/>
                          <w:sz w:val="16"/>
                          <w:szCs w:val="24"/>
                          <w:u w:val="single"/>
                        </w:rPr>
                        <w:t>:</w:t>
                      </w:r>
                    </w:p>
                    <w:p w14:paraId="5ADAA1E3" w14:textId="5B32A250" w:rsidR="008F211C" w:rsidRPr="00827B57" w:rsidRDefault="008F211C" w:rsidP="00A053CE">
                      <w:pPr>
                        <w:rPr>
                          <w:sz w:val="8"/>
                          <w:szCs w:val="16"/>
                        </w:rPr>
                      </w:pPr>
                      <w:r w:rsidRPr="00827B57">
                        <w:rPr>
                          <w:rFonts w:ascii="Arial" w:hAnsi="Arial" w:cs="Arial"/>
                          <w:sz w:val="16"/>
                          <w:szCs w:val="24"/>
                        </w:rPr>
                        <w:t xml:space="preserve">Bacteria residing in host mucosa such as the human respiratory tract (e.g. </w:t>
                      </w:r>
                      <w:r w:rsidRPr="00827B57">
                        <w:rPr>
                          <w:rFonts w:ascii="Arial" w:hAnsi="Arial" w:cs="Arial"/>
                          <w:i/>
                          <w:sz w:val="16"/>
                          <w:szCs w:val="24"/>
                        </w:rPr>
                        <w:t>Streptococcus pneumoniae</w:t>
                      </w:r>
                      <w:r w:rsidRPr="00827B57">
                        <w:rPr>
                          <w:rFonts w:ascii="Arial" w:hAnsi="Arial" w:cs="Arial"/>
                          <w:sz w:val="16"/>
                          <w:szCs w:val="24"/>
                        </w:rPr>
                        <w:t xml:space="preserve"> and </w:t>
                      </w:r>
                      <w:r w:rsidRPr="00827B57">
                        <w:rPr>
                          <w:rFonts w:ascii="Arial" w:hAnsi="Arial" w:cs="Arial"/>
                          <w:i/>
                          <w:sz w:val="16"/>
                          <w:szCs w:val="24"/>
                        </w:rPr>
                        <w:t>Haemophilus influenzae</w:t>
                      </w:r>
                      <w:r w:rsidRPr="00827B57">
                        <w:rPr>
                          <w:rFonts w:ascii="Arial" w:hAnsi="Arial" w:cs="Arial"/>
                          <w:sz w:val="16"/>
                          <w:szCs w:val="24"/>
                        </w:rPr>
                        <w:t xml:space="preserve">) or genital tract (e.g. </w:t>
                      </w:r>
                      <w:r w:rsidRPr="00827B57">
                        <w:rPr>
                          <w:rFonts w:ascii="Arial" w:hAnsi="Arial" w:cs="Arial"/>
                          <w:i/>
                          <w:sz w:val="16"/>
                          <w:szCs w:val="24"/>
                        </w:rPr>
                        <w:t>Neisseria gonorrhoeae</w:t>
                      </w:r>
                      <w:r w:rsidRPr="00827B57">
                        <w:rPr>
                          <w:rFonts w:ascii="Arial" w:hAnsi="Arial" w:cs="Arial"/>
                          <w:sz w:val="16"/>
                          <w:szCs w:val="24"/>
                        </w:rPr>
                        <w:t>) are naturally transformable</w:t>
                      </w:r>
                      <w:r>
                        <w:rPr>
                          <w:rFonts w:ascii="Arial" w:hAnsi="Arial" w:cs="Arial"/>
                          <w:sz w:val="16"/>
                          <w:szCs w:val="24"/>
                        </w:rPr>
                        <w:t xml:space="preserve">. </w:t>
                      </w:r>
                      <w:r w:rsidRPr="00827B57">
                        <w:rPr>
                          <w:rFonts w:ascii="Arial" w:hAnsi="Arial" w:cs="Arial"/>
                          <w:sz w:val="16"/>
                          <w:szCs w:val="24"/>
                        </w:rPr>
                        <w:t xml:space="preserve">Recombination of foreign DNA acquired from closely related species, such as </w:t>
                      </w:r>
                      <w:r w:rsidRPr="00827B57">
                        <w:rPr>
                          <w:rFonts w:ascii="Arial" w:hAnsi="Arial" w:cs="Arial"/>
                          <w:i/>
                          <w:sz w:val="16"/>
                          <w:szCs w:val="24"/>
                        </w:rPr>
                        <w:t xml:space="preserve">S. </w:t>
                      </w:r>
                      <w:proofErr w:type="spellStart"/>
                      <w:r w:rsidRPr="00827B57">
                        <w:rPr>
                          <w:rFonts w:ascii="Arial" w:hAnsi="Arial" w:cs="Arial"/>
                          <w:i/>
                          <w:sz w:val="16"/>
                          <w:szCs w:val="24"/>
                        </w:rPr>
                        <w:t>mitis</w:t>
                      </w:r>
                      <w:proofErr w:type="spellEnd"/>
                      <w:r w:rsidRPr="00827B57">
                        <w:rPr>
                          <w:rFonts w:ascii="Arial" w:hAnsi="Arial" w:cs="Arial"/>
                          <w:sz w:val="16"/>
                          <w:szCs w:val="24"/>
                        </w:rPr>
                        <w:t xml:space="preserve"> with that of </w:t>
                      </w:r>
                      <w:r w:rsidRPr="00827B57">
                        <w:rPr>
                          <w:rFonts w:ascii="Arial" w:hAnsi="Arial" w:cs="Arial"/>
                          <w:i/>
                          <w:sz w:val="16"/>
                          <w:szCs w:val="24"/>
                        </w:rPr>
                        <w:t>S. pneumoniae,</w:t>
                      </w:r>
                      <w:r w:rsidRPr="00827B57">
                        <w:rPr>
                          <w:rFonts w:ascii="Arial" w:hAnsi="Arial" w:cs="Arial"/>
                          <w:sz w:val="16"/>
                          <w:szCs w:val="24"/>
                        </w:rPr>
                        <w:t xml:space="preserve"> confers penicillin resistance via the formation of mosaic </w:t>
                      </w:r>
                      <w:r w:rsidRPr="00827B57">
                        <w:rPr>
                          <w:rFonts w:ascii="Arial" w:hAnsi="Arial"/>
                          <w:sz w:val="16"/>
                        </w:rPr>
                        <w:t>genes (i.e. genes that can contain DNA from more than one species of highly related micro-organism).  The mosaic penicillin-binding protein (</w:t>
                      </w:r>
                      <w:proofErr w:type="spellStart"/>
                      <w:r w:rsidRPr="00827B57">
                        <w:rPr>
                          <w:rFonts w:ascii="Arial" w:hAnsi="Arial" w:cs="Arial"/>
                          <w:i/>
                          <w:sz w:val="16"/>
                          <w:szCs w:val="24"/>
                        </w:rPr>
                        <w:t>pbp</w:t>
                      </w:r>
                      <w:proofErr w:type="spellEnd"/>
                      <w:r w:rsidRPr="00827B57">
                        <w:rPr>
                          <w:rFonts w:ascii="Arial" w:hAnsi="Arial" w:cs="Arial"/>
                          <w:i/>
                          <w:sz w:val="16"/>
                          <w:szCs w:val="24"/>
                        </w:rPr>
                        <w:t>)</w:t>
                      </w:r>
                      <w:r w:rsidRPr="00827B57">
                        <w:rPr>
                          <w:rFonts w:ascii="Arial" w:hAnsi="Arial" w:cs="Arial"/>
                          <w:sz w:val="16"/>
                          <w:szCs w:val="24"/>
                        </w:rPr>
                        <w:t xml:space="preserve"> gene gives rise to a new target protein which is resistant to penicillin.  Likewise, in </w:t>
                      </w:r>
                      <w:r w:rsidRPr="00827B57">
                        <w:rPr>
                          <w:rFonts w:ascii="Arial" w:hAnsi="Arial" w:cs="Arial"/>
                          <w:i/>
                          <w:sz w:val="16"/>
                          <w:szCs w:val="24"/>
                        </w:rPr>
                        <w:t>N. gonorrhoeae,</w:t>
                      </w:r>
                      <w:r w:rsidRPr="00827B57">
                        <w:rPr>
                          <w:rFonts w:ascii="Arial" w:hAnsi="Arial" w:cs="Arial"/>
                          <w:sz w:val="16"/>
                          <w:szCs w:val="24"/>
                        </w:rPr>
                        <w:t xml:space="preserve"> a mosaic </w:t>
                      </w:r>
                      <w:proofErr w:type="spellStart"/>
                      <w:r w:rsidRPr="00827B57">
                        <w:rPr>
                          <w:rFonts w:ascii="Arial" w:hAnsi="Arial" w:cs="Arial"/>
                          <w:i/>
                          <w:sz w:val="16"/>
                          <w:szCs w:val="24"/>
                        </w:rPr>
                        <w:t>penA</w:t>
                      </w:r>
                      <w:proofErr w:type="spellEnd"/>
                      <w:r w:rsidRPr="00827B57">
                        <w:rPr>
                          <w:rFonts w:ascii="Arial" w:hAnsi="Arial" w:cs="Arial"/>
                          <w:sz w:val="16"/>
                          <w:szCs w:val="24"/>
                        </w:rPr>
                        <w:t xml:space="preserve"> gene is associated with ceftriaxone resistance.</w:t>
                      </w:r>
                      <w:r w:rsidRPr="00827B57">
                        <w:rPr>
                          <w:rFonts w:ascii="Arial" w:hAnsi="Arial" w:cs="Arial"/>
                          <w:sz w:val="16"/>
                          <w:szCs w:val="24"/>
                        </w:rPr>
                        <w:fldChar w:fldCharType="begin" w:fldLock="1"/>
                      </w:r>
                      <w:r w:rsidR="009E0BAE">
                        <w:rPr>
                          <w:rFonts w:ascii="Arial" w:hAnsi="Arial" w:cs="Arial"/>
                          <w:sz w:val="16"/>
                          <w:szCs w:val="24"/>
                        </w:rPr>
                        <w:instrText>ADDIN CSL_CITATION { "citationItems" : [ { "id" : "ITEM-1", "itemData" : { "DOI" : "10.1128/AAC.05760-11", "ISSN" : "1098-6596", "PMID" : "22155830", "abstract" : "Recently, the first Neisseria gonorrhoeae strain (H041) highly resistant to the expanded-spectrum cephalosporins (ESCs) ceftriaxone and cefixime, which are the last remaining options for first-line gonorrhea treatment, was isolated in Japan. Here, we confirm and characterize a second strain (F89) with high-level cefixime and ceftriaxone resistance which was isolated in France and most likely caused a treatment failure with cefixime. F89 was examined using six species-confirmatory tests, antibiograms (33 antimicrobials), porB sequencing, N. gonorrhoeae multiantigen sequence typing (NG-MAST), multilocus sequence typing (MLST), and sequencing of known gonococcal resistance determinants (penA, mtrR, penB, ponA, and pilQ). F89 was assigned to MLST sequence type 1901 (ST1901) and NG-MAST ST1407, which is a successful gonococcal clone that has spread globally. F89 has high-level resistance to cefixime (MIC = 4 \u03bcg/ml) and ceftriaxone (MIC = 1 to 2 \u03bcg/ml) and resistance to most other antimicrobials examined. A novel penA mosaic allele (penA-CI), which was penA-XXXIV with an additional A501P alteration in penicillin-binding protein 2, was the primary determinant for high-level ESC resistance, as determined by transformation into a set of recipient strains. N. gonorrhoeae appears to be emerging as a superbug, and in certain circumstances and settings, gonorrhea may become untreatable. Investigations of the biological fitness and enhanced understanding and monitoring of the ESC-resistant clones and their international transmission are required. Enhanced disease control activities, antimicrobial resistance control and surveillance worldwide, and public health response plans for global (and national) perspectives are also crucial. Nevertheless, new treatment strategies and/or drugs and, ideally, a vaccine are essential to develop for efficacious gonorrhea management.", "author" : [ { "dropping-particle" : "", "family" : "Unemo", "given" : "Magnus", "non-dropping-particle" : "", "parse-names" : false, "suffix" : "" }, { "dropping-particle" : "", "family" : "Golparian", "given" : "Daniel", "non-dropping-particle" : "", "parse-names" : false, "suffix" : "" }, { "dropping-particle" : "", "family" : "Nicholas", "given" : "Robert", "non-dropping-particle" : "", "parse-names" : false, "suffix" : "" }, { "dropping-particle" : "", "family" : "Ohnishi", "given" : "Makoto", "non-dropping-particle" : "", "parse-names" : false, "suffix" : "" }, { "dropping-particle" : "", "family" : "Gallay", "given" : "Anne", "non-dropping-particle" : "", "parse-names" : false, "suffix" : "" }, { "dropping-particle" : "", "family" : "Sednaoui", "given" : "Patrice", "non-dropping-particle" : "", "parse-names" : false, "suffix" : "" } ], "container-title" : "Antimicrobial Agents and Chemotherapy", "id" : "ITEM-1", "issue" : "3", "issued" : { "date-parts" : [ [ "2012", "3" ] ] }, "page" : "1273-80", "title" : "High-level cefixime- and ceftriaxone-resistant Neisseria gonorrhoeae in France: novel penA mosaic allele in a successful international clone causes treatment failure.", "type" : "article-journal", "volume" : "56" }, "uris" : [ "http://www.mendeley.com/documents/?uuid=b0d69a8b-6449-4192-bbb0-87d4eec3a10d" ] } ], "mendeley" : { "formattedCitation" : "&lt;sup&gt;38&lt;/sup&gt;", "plainTextFormattedCitation" : "38", "previouslyFormattedCitation" : "&lt;sup&gt;39&lt;/sup&gt;" }, "properties" : { "noteIndex" : 0 }, "schema" : "https://github.com/citation-style-language/schema/raw/master/csl-citation.json" }</w:instrText>
                      </w:r>
                      <w:r w:rsidRPr="00827B57">
                        <w:rPr>
                          <w:rFonts w:ascii="Arial" w:hAnsi="Arial" w:cs="Arial"/>
                          <w:sz w:val="16"/>
                          <w:szCs w:val="24"/>
                        </w:rPr>
                        <w:fldChar w:fldCharType="separate"/>
                      </w:r>
                      <w:r w:rsidR="009E0BAE" w:rsidRPr="009E0BAE">
                        <w:rPr>
                          <w:rFonts w:ascii="Arial" w:hAnsi="Arial" w:cs="Arial"/>
                          <w:noProof/>
                          <w:sz w:val="16"/>
                          <w:szCs w:val="24"/>
                          <w:vertAlign w:val="superscript"/>
                        </w:rPr>
                        <w:t>38</w:t>
                      </w:r>
                      <w:r w:rsidRPr="00827B57">
                        <w:rPr>
                          <w:rFonts w:ascii="Arial" w:hAnsi="Arial" w:cs="Arial"/>
                          <w:sz w:val="16"/>
                          <w:szCs w:val="24"/>
                        </w:rPr>
                        <w:fldChar w:fldCharType="end"/>
                      </w:r>
                    </w:p>
                    <w:p w14:paraId="108160DA" w14:textId="77777777" w:rsidR="008F211C" w:rsidRDefault="008F211C" w:rsidP="00A053CE"/>
                  </w:txbxContent>
                </v:textbox>
              </v:shape>
            </w:pict>
          </mc:Fallback>
        </mc:AlternateContent>
      </w:r>
      <w:r w:rsidR="003D4C10" w:rsidRPr="000767AE">
        <w:rPr>
          <w:rFonts w:ascii="Arial" w:hAnsi="Arial" w:cs="Arial"/>
          <w:b/>
          <w:noProof/>
          <w:lang w:eastAsia="en-GB"/>
        </w:rPr>
        <mc:AlternateContent>
          <mc:Choice Requires="wps">
            <w:drawing>
              <wp:anchor distT="0" distB="0" distL="114300" distR="114300" simplePos="0" relativeHeight="251706368" behindDoc="0" locked="0" layoutInCell="1" allowOverlap="1" wp14:anchorId="21206837" wp14:editId="2E9B3015">
                <wp:simplePos x="0" y="0"/>
                <wp:positionH relativeFrom="column">
                  <wp:posOffset>6849110</wp:posOffset>
                </wp:positionH>
                <wp:positionV relativeFrom="paragraph">
                  <wp:posOffset>902970</wp:posOffset>
                </wp:positionV>
                <wp:extent cx="1852930" cy="4029710"/>
                <wp:effectExtent l="0" t="0" r="0" b="8890"/>
                <wp:wrapNone/>
                <wp:docPr id="12" name="Text Box 12"/>
                <wp:cNvGraphicFramePr/>
                <a:graphic xmlns:a="http://schemas.openxmlformats.org/drawingml/2006/main">
                  <a:graphicData uri="http://schemas.microsoft.com/office/word/2010/wordprocessingShape">
                    <wps:wsp>
                      <wps:cNvSpPr txBox="1"/>
                      <wps:spPr>
                        <a:xfrm>
                          <a:off x="0" y="0"/>
                          <a:ext cx="1852930" cy="402971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529A0" w14:textId="731596EC" w:rsidR="008F211C" w:rsidRPr="00827B57" w:rsidRDefault="008F211C" w:rsidP="00A053CE">
                            <w:pPr>
                              <w:rPr>
                                <w:rFonts w:ascii="Arial" w:hAnsi="Arial" w:cs="Arial"/>
                                <w:b/>
                                <w:sz w:val="16"/>
                                <w:szCs w:val="16"/>
                                <w:u w:val="single"/>
                              </w:rPr>
                            </w:pPr>
                            <w:r w:rsidRPr="00827B57">
                              <w:rPr>
                                <w:rFonts w:ascii="Arial" w:hAnsi="Arial" w:cs="Arial"/>
                                <w:b/>
                                <w:sz w:val="16"/>
                                <w:szCs w:val="16"/>
                                <w:u w:val="single"/>
                              </w:rPr>
                              <w:t xml:space="preserve">Clinical </w:t>
                            </w:r>
                            <w:r>
                              <w:rPr>
                                <w:rFonts w:ascii="Arial" w:hAnsi="Arial" w:cs="Arial"/>
                                <w:b/>
                                <w:sz w:val="16"/>
                                <w:szCs w:val="16"/>
                                <w:u w:val="single"/>
                              </w:rPr>
                              <w:t>examples</w:t>
                            </w:r>
                            <w:r w:rsidRPr="00827B57">
                              <w:rPr>
                                <w:rFonts w:ascii="Arial" w:hAnsi="Arial" w:cs="Arial"/>
                                <w:b/>
                                <w:sz w:val="16"/>
                                <w:szCs w:val="16"/>
                                <w:u w:val="single"/>
                              </w:rPr>
                              <w:t>:</w:t>
                            </w:r>
                          </w:p>
                          <w:p w14:paraId="371AC81A" w14:textId="0A63C78A" w:rsidR="008F211C" w:rsidRPr="00FD4A42" w:rsidRDefault="008F211C" w:rsidP="00A053CE">
                            <w:pPr>
                              <w:rPr>
                                <w:rFonts w:ascii="Arial" w:hAnsi="Arial" w:cs="Arial"/>
                                <w:sz w:val="16"/>
                                <w:szCs w:val="16"/>
                              </w:rPr>
                            </w:pPr>
                            <w:r>
                              <w:rPr>
                                <w:rFonts w:ascii="Arial" w:hAnsi="Arial" w:cs="Arial"/>
                                <w:sz w:val="16"/>
                                <w:szCs w:val="16"/>
                              </w:rPr>
                              <w:t>R</w:t>
                            </w:r>
                            <w:r w:rsidRPr="00FD4A42">
                              <w:rPr>
                                <w:rFonts w:ascii="Arial" w:hAnsi="Arial" w:cs="Arial"/>
                                <w:sz w:val="16"/>
                                <w:szCs w:val="16"/>
                              </w:rPr>
                              <w:t xml:space="preserve">esponsible for the global dissemination of genes encoding carbapenemases </w:t>
                            </w:r>
                            <w:r>
                              <w:rPr>
                                <w:rFonts w:ascii="Arial" w:hAnsi="Arial" w:cs="Arial"/>
                                <w:sz w:val="16"/>
                                <w:szCs w:val="16"/>
                              </w:rPr>
                              <w:t>(</w:t>
                            </w:r>
                            <w:r w:rsidRPr="00FD4A42">
                              <w:rPr>
                                <w:rFonts w:ascii="Arial" w:hAnsi="Arial" w:cs="Arial"/>
                                <w:sz w:val="16"/>
                                <w:szCs w:val="16"/>
                              </w:rPr>
                              <w:t>resistance mechanisms of particular clinical concern</w:t>
                            </w:r>
                            <w:r>
                              <w:rPr>
                                <w:rFonts w:ascii="Arial" w:hAnsi="Arial" w:cs="Arial"/>
                                <w:sz w:val="16"/>
                                <w:szCs w:val="16"/>
                              </w:rPr>
                              <w:t>)</w:t>
                            </w:r>
                            <w:r w:rsidRPr="00FD4A42">
                              <w:rPr>
                                <w:rFonts w:ascii="Arial" w:hAnsi="Arial" w:cs="Arial"/>
                                <w:sz w:val="16"/>
                                <w:szCs w:val="16"/>
                              </w:rPr>
                              <w:t xml:space="preserve">  including New Delhi Metallo-β-lactamase (NDM) and </w:t>
                            </w:r>
                            <w:r w:rsidRPr="00FD4A42">
                              <w:rPr>
                                <w:rFonts w:ascii="Arial" w:hAnsi="Arial" w:cs="Arial"/>
                                <w:i/>
                                <w:sz w:val="16"/>
                                <w:szCs w:val="16"/>
                              </w:rPr>
                              <w:t xml:space="preserve">Klebsiella pneumoniae </w:t>
                            </w:r>
                            <w:r w:rsidRPr="00FD4A42">
                              <w:rPr>
                                <w:rFonts w:ascii="Arial" w:hAnsi="Arial" w:cs="Arial"/>
                                <w:sz w:val="16"/>
                                <w:szCs w:val="16"/>
                              </w:rPr>
                              <w:t>carbapenemase (KPC) enzymes, as well as ESβLs</w:t>
                            </w:r>
                            <w:r>
                              <w:rPr>
                                <w:rFonts w:ascii="Arial" w:hAnsi="Arial" w:cs="Arial"/>
                                <w:sz w:val="16"/>
                                <w:szCs w:val="16"/>
                              </w:rPr>
                              <w:t>.</w:t>
                            </w:r>
                            <w:r>
                              <w:rPr>
                                <w:rFonts w:ascii="Arial" w:hAnsi="Arial" w:cs="Arial"/>
                                <w:sz w:val="16"/>
                                <w:szCs w:val="16"/>
                              </w:rPr>
                              <w:fldChar w:fldCharType="begin" w:fldLock="1"/>
                            </w:r>
                            <w:r>
                              <w:rPr>
                                <w:rFonts w:ascii="Arial" w:hAnsi="Arial" w:cs="Arial"/>
                                <w:sz w:val="16"/>
                                <w:szCs w:val="16"/>
                              </w:rPr>
                              <w:instrText>ADDIN CSL_CITATION { "citationItems" : [ { "id" : "ITEM-1", "itemData" : { "DOI" : "10.1016/S1473-3099(11)70059-7", "ISSN" : "1474-4457", "PMID" : "21478057", "abstract" : "BACKGROUND: Not all patients infected with NDM-1-positive bacteria have a history of hospital admission in India, and extended-spectrum \u03b2-lactamases are known to be circulating in the Indian community. We therefore measured the prevalence of the NDM-1 gene in drinking water and seepage samples in New Delhi. METHODS: Swabs absorbing about 100 \u03bcL of seepage water (ie, water pools in streets or rivulets) and 15 mL samples of public tap water were collected from sites within a 12 km radius of central New Delhi, with each site photographed and documented. Samples were transported to the UK and tested for the presence of the NDM-1 gene, bla(NDM-1), by PCR and DNA probing. As a control group, 100 \u03bcL sewage effluent samples were taken from the Cardiff Wastewater Treatment Works, Tremorfa, Wales. Bacteria from all samples were recovered and examined for bla(NDM-1) by PCR and sequencing. We identified NDM-1-positive isolates, undertook susceptibility testing, and, where appropriate, typed the isolates. We undertook Inc typing on bla(NDM-1)-positive plasmids. Transconjugants were created to assess plasmid transfer frequency and its relation to temperature. FINDINGS: From Sept 26 to Oct 10, 2010, 171 seepage samples and 50 tap water samples from New Delhi and 70 sewage effluent samples from Cardiff Wastewater Treatment Works were collected. We detected bla(NDM-1) in two of 50 drinking-water samples and 51 of 171 seepage samples from New Delhi; the gene was not found in any sample from Cardiff. Bacteria with bla(NDM-1) were grown from 12 of 171 seepage samples and two of 50 water samples, and included 11 species in which NDM-1 has not previously been reported, including Shigella boydii and Vibrio cholerae. Carriage by enterobacteria, aeromonads, and V cholera was stable, generally transmissible, and associated with resistance patterns typical for NDM-1; carriage by non-fermenters was unstable in many cases and not associated with typical resistance. 20 strains of bacteria were found in the samples, 12 of which carried bla(NDM-1) on plasmids, which ranged in size from 140 to 400 kb. Isolates of Aeromonas caviae and V cholerae carried bla(NDM-1) on chromosomes. Conjugative transfer was more common at 30\u00b0C than at 25\u00b0C or 37\u00b0C. INTERPRETATION: The presence of NDM-1 \u03b2-lactamase-producing bacteria in environmental samples in New Delhi has important implications for people living in the city who are reliant on public water and sanitation facilities. International surveill\u2026", "author" : [ { "dropping-particle" : "", "family" : "Walsh", "given" : "Timothy R", "non-dropping-particle" : "", "parse-names" : false, "suffix" : "" }, { "dropping-particle" : "", "family" : "Weeks", "given" : "Janis", "non-dropping-particle" : "", "parse-names" : false, "suffix" : "" }, { "dropping-particle" : "", "family" : "Livermore", "given" : "David M", "non-dropping-particle" : "", "parse-names" : false, "suffix" : "" }, { "dropping-particle" : "", "family" : "Toleman", "given" : "Mark A", "non-dropping-particle" : "", "parse-names" : false, "suffix" : "" } ], "container-title" : "Lancet Infectious Diseases", "id" : "ITEM-1", "issue" : "5", "issued" : { "date-parts" : [ [ "2011", "5" ] ] }, "page" : "355-62", "publisher" : "Elsevier Ltd", "title" : "Dissemination of NDM-1 positive bacteria in the New Delhi environment and its implications for human health: an environmental point prevalence study.", "type" : "article-journal", "volume" : "11" }, "uris" : [ "http://www.mendeley.com/documents/?uuid=f61619f4-a439-46ef-bb5d-494f1efb9f7a" ] } ], "mendeley" : { "formattedCitation" : "&lt;sup&gt;15&lt;/sup&gt;", "plainTextFormattedCitation" : "15", "previouslyFormattedCitation" : "&lt;sup&gt;15&lt;/sup&gt;" }, "properties" : { "noteIndex" : 0 }, "schema" : "https://github.com/citation-style-language/schema/raw/master/csl-citation.json" }</w:instrText>
                            </w:r>
                            <w:r>
                              <w:rPr>
                                <w:rFonts w:ascii="Arial" w:hAnsi="Arial" w:cs="Arial"/>
                                <w:sz w:val="16"/>
                                <w:szCs w:val="16"/>
                              </w:rPr>
                              <w:fldChar w:fldCharType="separate"/>
                            </w:r>
                            <w:r w:rsidRPr="003234D2">
                              <w:rPr>
                                <w:rFonts w:ascii="Arial" w:hAnsi="Arial" w:cs="Arial"/>
                                <w:noProof/>
                                <w:sz w:val="16"/>
                                <w:szCs w:val="16"/>
                                <w:vertAlign w:val="superscript"/>
                              </w:rPr>
                              <w:t>15</w:t>
                            </w:r>
                            <w:r>
                              <w:rPr>
                                <w:rFonts w:ascii="Arial" w:hAnsi="Arial" w:cs="Arial"/>
                                <w:sz w:val="16"/>
                                <w:szCs w:val="16"/>
                              </w:rPr>
                              <w:fldChar w:fldCharType="end"/>
                            </w:r>
                            <w:r w:rsidRPr="00FD4A42">
                              <w:rPr>
                                <w:rFonts w:ascii="Arial" w:hAnsi="Arial" w:cs="Arial"/>
                                <w:noProof/>
                                <w:sz w:val="16"/>
                                <w:szCs w:val="16"/>
                              </w:rPr>
                              <w:t xml:space="preserve"> Whilst many </w:t>
                            </w:r>
                            <w:r>
                              <w:rPr>
                                <w:rFonts w:ascii="Arial" w:hAnsi="Arial" w:cs="Arial"/>
                                <w:noProof/>
                                <w:sz w:val="16"/>
                                <w:szCs w:val="16"/>
                              </w:rPr>
                              <w:t>AMR</w:t>
                            </w:r>
                            <w:r w:rsidRPr="00FD4A42">
                              <w:rPr>
                                <w:rFonts w:ascii="Arial" w:hAnsi="Arial" w:cs="Arial"/>
                                <w:noProof/>
                                <w:sz w:val="16"/>
                                <w:szCs w:val="16"/>
                              </w:rPr>
                              <w:t xml:space="preserve"> genes can be carried by many different plasmids some</w:t>
                            </w:r>
                            <w:r>
                              <w:rPr>
                                <w:rFonts w:ascii="Arial" w:hAnsi="Arial" w:cs="Arial"/>
                                <w:noProof/>
                                <w:sz w:val="16"/>
                                <w:szCs w:val="16"/>
                              </w:rPr>
                              <w:t>,</w:t>
                            </w:r>
                            <w:r w:rsidRPr="00FD4A42">
                              <w:rPr>
                                <w:rFonts w:ascii="Arial" w:hAnsi="Arial" w:cs="Arial"/>
                                <w:noProof/>
                                <w:sz w:val="16"/>
                                <w:szCs w:val="16"/>
                              </w:rPr>
                              <w:t xml:space="preserve"> such as those of the </w:t>
                            </w:r>
                            <w:proofErr w:type="spellStart"/>
                            <w:r w:rsidRPr="00FD4A42">
                              <w:rPr>
                                <w:rFonts w:ascii="Arial" w:hAnsi="Arial" w:cs="Arial"/>
                                <w:sz w:val="16"/>
                                <w:szCs w:val="16"/>
                              </w:rPr>
                              <w:t>IncFII</w:t>
                            </w:r>
                            <w:proofErr w:type="spellEnd"/>
                            <w:r w:rsidRPr="00FD4A42">
                              <w:rPr>
                                <w:rFonts w:ascii="Arial" w:hAnsi="Arial" w:cs="Arial"/>
                                <w:sz w:val="16"/>
                                <w:szCs w:val="16"/>
                              </w:rPr>
                              <w:t xml:space="preserve"> group</w:t>
                            </w:r>
                            <w:r>
                              <w:rPr>
                                <w:rFonts w:ascii="Arial" w:hAnsi="Arial" w:cs="Arial"/>
                                <w:sz w:val="16"/>
                                <w:szCs w:val="16"/>
                              </w:rPr>
                              <w:t>,</w:t>
                            </w:r>
                            <w:r w:rsidRPr="00FD4A42">
                              <w:rPr>
                                <w:rFonts w:ascii="Arial" w:hAnsi="Arial" w:cs="Arial"/>
                                <w:sz w:val="16"/>
                                <w:szCs w:val="16"/>
                              </w:rPr>
                              <w:t xml:space="preserve"> </w:t>
                            </w:r>
                            <w:r>
                              <w:rPr>
                                <w:rFonts w:ascii="Arial" w:hAnsi="Arial" w:cs="Arial"/>
                                <w:sz w:val="16"/>
                                <w:szCs w:val="16"/>
                              </w:rPr>
                              <w:t>are</w:t>
                            </w:r>
                            <w:r w:rsidRPr="00FD4A42">
                              <w:rPr>
                                <w:rFonts w:ascii="Arial" w:hAnsi="Arial" w:cs="Arial"/>
                                <w:sz w:val="16"/>
                                <w:szCs w:val="16"/>
                              </w:rPr>
                              <w:t xml:space="preserve"> responsible for much of the dissemination of particular resistances such as the ESβL CTX-M-15.</w:t>
                            </w:r>
                            <w:r w:rsidRPr="00FD4A42">
                              <w:rPr>
                                <w:rFonts w:ascii="Arial" w:hAnsi="Arial" w:cs="Arial"/>
                                <w:sz w:val="16"/>
                                <w:szCs w:val="16"/>
                              </w:rPr>
                              <w:fldChar w:fldCharType="begin" w:fldLock="1"/>
                            </w:r>
                            <w:r w:rsidR="009E0BAE">
                              <w:rPr>
                                <w:rFonts w:ascii="Arial" w:hAnsi="Arial" w:cs="Arial"/>
                                <w:sz w:val="16"/>
                                <w:szCs w:val="16"/>
                              </w:rPr>
                              <w:instrText>ADDIN CSL_CITATION { "citationItems" : [ { "id" : "ITEM-1", "itemData" : { "DOI" : "10.1093/jac/dkq463", "ISBN" : "2083276264", "ISSN" : "1460-2091", "PMID" : "21131323", "abstract" : "OBJECTIVES: Between January 2004 and May 2006 Escherichia coli producing extended-spectrum \u03b2-lactamases (ESBLs) were isolated from the faeces of 118/294 residents from 16 nursing homes in Belfast. Of these, 58 isolates belonged to UK strain A, a variant of the international ST131 clone. Here we investigated the remaining 60 ESBL producers. METHODS: MICs were determined and interpreted using BSAC methodology. Isolates were characterized by phylogenetic typing, real-time PCR and PFGE. Plasmids were rep typed by PCR and their similarity to IncI1 reference plasmid pEK204 was investigated by restriction fragment length polymorphism analysis. The molecular environments surrounding bla(CTX-M) were determined by DNA sequencing and PCR. RESULTS: Fifty-nine of 60 isolates belonged to the B2, ST131 lineage; of these 28 belonged to the previously defined UK strain C, while the other 31 were clustered into five groups by PFGE. Forty-nine isolates harboured bla(CTX-M-3) on plasmids of five different rep types (I1, FIA, FIA-FIB, N and Y) and 11 harboured bla(CTX-M-15) on F-type plasmids (FIA and FIA-FIB). All CTX-M-3 ESBL producers and three with CTX-M-15 ESBL had an intact copy of ISEcp1 immediately upstream of bla(CTX-M); the remaining eight with CTX-M-15 ESBL had a truncated ISEcp1. CONCLUSIONS: Gut colonization among nursing home residents in Belfast with ciprofloxacin-resistant E. coli producing ESBLs almost entirely involves clonal spread of ST131 variants, with similar genetic environments for bla(CTX-M-3) or bla(CTX-M-15) as in pEK204 and pEK499. Such diversity indicates dissemination of both plasmids and ESBL genes among a single commonly multiresistant clone.", "author" : [ { "dropping-particle" : "", "family" : "Dhanji", "given" : "Hiran", "non-dropping-particle" : "", "parse-names" : false, "suffix" : "" }, { "dropping-particle" : "", "family" : "Doumith", "given" : "Michel", "non-dropping-particle" : "", "parse-names" : false, "suffix" : "" }, { "dropping-particle" : "", "family" : "Rooney", "given" : "Paul J", "non-dropping-particle" : "", "parse-names" : false, "suffix" : "" }, { "dropping-particle" : "", "family" : "O'Leary", "given" : "Maureen C", "non-dropping-particle" : "", "parse-names" : false, "suffix" : "" }, { "dropping-particle" : "", "family" : "Loughrey", "given" : "Anne C", "non-dropping-particle" : "", "parse-names" : false, "suffix" : "" }, { "dropping-particle" : "", "family" : "Hope", "given" : "Russell", "non-dropping-particle" : "", "parse-names" : false, "suffix" : "" }, { "dropping-particle" : "", "family" : "Woodford", "given" : "Neil", "non-dropping-particle" : "", "parse-names" : false, "suffix" : "" }, { "dropping-particle" : "", "family" : "Livermore", "given" : "David M", "non-dropping-particle" : "", "parse-names" : false, "suffix" : "" } ], "container-title" : "Journal of Antimicrobial Chemotherapy", "id" : "ITEM-1", "issue" : "2", "issued" : { "date-parts" : [ [ "2011", "2" ] ] }, "page" : "297-303", "title" : "Molecular epidemiology of fluoroquinolone-resistant ST131 Escherichia coli producing CTX-M extended-spectrum beta-lactamases in nursing homes in Belfast, UK.", "type" : "article-journal", "volume" : "66" }, "uris" : [ "http://www.mendeley.com/documents/?uuid=7bddbced-ea58-4555-a2d0-4c6e9d348fe3" ] } ], "mendeley" : { "formattedCitation" : "&lt;sup&gt;39&lt;/sup&gt;", "plainTextFormattedCitation" : "39", "previouslyFormattedCitation" : "&lt;sup&gt;40&lt;/sup&gt;" }, "properties" : { "noteIndex" : 0 }, "schema" : "https://github.com/citation-style-language/schema/raw/master/csl-citation.json" }</w:instrText>
                            </w:r>
                            <w:r w:rsidRPr="00FD4A42">
                              <w:rPr>
                                <w:rFonts w:ascii="Arial" w:hAnsi="Arial" w:cs="Arial"/>
                                <w:sz w:val="16"/>
                                <w:szCs w:val="16"/>
                              </w:rPr>
                              <w:fldChar w:fldCharType="separate"/>
                            </w:r>
                            <w:r w:rsidR="009E0BAE" w:rsidRPr="009E0BAE">
                              <w:rPr>
                                <w:rFonts w:ascii="Arial" w:hAnsi="Arial" w:cs="Arial"/>
                                <w:noProof/>
                                <w:sz w:val="16"/>
                                <w:szCs w:val="16"/>
                                <w:vertAlign w:val="superscript"/>
                              </w:rPr>
                              <w:t>39</w:t>
                            </w:r>
                            <w:r w:rsidRPr="00FD4A42">
                              <w:rPr>
                                <w:rFonts w:ascii="Arial" w:hAnsi="Arial" w:cs="Arial"/>
                                <w:sz w:val="16"/>
                                <w:szCs w:val="16"/>
                              </w:rPr>
                              <w:fldChar w:fldCharType="end"/>
                            </w:r>
                            <w:r w:rsidRPr="00FD4A42">
                              <w:rPr>
                                <w:rFonts w:ascii="Arial" w:hAnsi="Arial" w:cs="Arial"/>
                                <w:sz w:val="16"/>
                                <w:szCs w:val="16"/>
                              </w:rPr>
                              <w:t xml:space="preserve"> Some plasmids also appear restricted and have a narrow host range; this includes those that have spread OXA-48-like carbapenemases </w:t>
                            </w:r>
                            <w:r>
                              <w:rPr>
                                <w:rFonts w:ascii="Arial" w:hAnsi="Arial" w:cs="Arial"/>
                                <w:sz w:val="16"/>
                                <w:szCs w:val="16"/>
                              </w:rPr>
                              <w:t>among</w:t>
                            </w:r>
                            <w:r w:rsidRPr="00FD4A42">
                              <w:rPr>
                                <w:rFonts w:ascii="Arial" w:hAnsi="Arial" w:cs="Arial"/>
                                <w:sz w:val="16"/>
                                <w:szCs w:val="16"/>
                              </w:rPr>
                              <w:t xml:space="preserve"> Enterobacteriaceae. There are also elements that can transfer genes between plasmids and the bacterial host chromosome and these integrative chromosomal </w:t>
                            </w:r>
                            <w:r w:rsidRPr="00485EBB">
                              <w:rPr>
                                <w:rFonts w:ascii="Arial" w:hAnsi="Arial" w:cs="Arial"/>
                                <w:sz w:val="16"/>
                                <w:szCs w:val="16"/>
                              </w:rPr>
                              <w:t>elements</w:t>
                            </w:r>
                            <w:r>
                              <w:rPr>
                                <w:rFonts w:ascii="Arial" w:hAnsi="Arial" w:cs="Arial"/>
                                <w:sz w:val="16"/>
                                <w:szCs w:val="16"/>
                              </w:rPr>
                              <w:t xml:space="preserve"> </w:t>
                            </w:r>
                            <w:r w:rsidRPr="00485EBB">
                              <w:rPr>
                                <w:rFonts w:ascii="Arial" w:hAnsi="Arial" w:cs="Arial"/>
                                <w:sz w:val="16"/>
                                <w:szCs w:val="16"/>
                                <w:highlight w:val="yellow"/>
                                <w:shd w:val="clear" w:color="auto" w:fill="FFFFFF"/>
                              </w:rPr>
                              <w:t>(</w:t>
                            </w:r>
                            <w:r w:rsidRPr="00485EBB">
                              <w:rPr>
                                <w:rFonts w:ascii="Arial" w:hAnsi="Arial" w:cs="Arial"/>
                                <w:sz w:val="16"/>
                                <w:szCs w:val="16"/>
                              </w:rPr>
                              <w:t>ICEs</w:t>
                            </w:r>
                            <w:r>
                              <w:rPr>
                                <w:rFonts w:ascii="Arial" w:hAnsi="Arial" w:cs="Arial"/>
                                <w:sz w:val="16"/>
                                <w:szCs w:val="16"/>
                              </w:rPr>
                              <w:t>)</w:t>
                            </w:r>
                            <w:r w:rsidRPr="00FD4A42">
                              <w:rPr>
                                <w:rFonts w:ascii="Arial" w:hAnsi="Arial" w:cs="Arial"/>
                                <w:sz w:val="16"/>
                                <w:szCs w:val="16"/>
                              </w:rPr>
                              <w:t xml:space="preserve"> can carry genes conferring resistance to drugs including ampicillin, chloramphenicol, erythromycin, kanamycin, tetracycline and </w:t>
                            </w:r>
                            <w:proofErr w:type="spellStart"/>
                            <w:r w:rsidRPr="00FD4A42">
                              <w:rPr>
                                <w:rFonts w:ascii="Arial" w:hAnsi="Arial" w:cs="Arial"/>
                                <w:sz w:val="16"/>
                                <w:szCs w:val="16"/>
                              </w:rPr>
                              <w:t>sulfamethoxazole</w:t>
                            </w:r>
                            <w:proofErr w:type="spellEnd"/>
                            <w:r w:rsidRPr="00FD4A42">
                              <w:rPr>
                                <w:rFonts w:ascii="Arial" w:hAnsi="Arial" w:cs="Arial"/>
                                <w:sz w:val="16"/>
                                <w:szCs w:val="16"/>
                              </w:rPr>
                              <w:t xml:space="preserve"> in a range of Gram-negative species and Streptococci.</w:t>
                            </w:r>
                            <w:r w:rsidRPr="00FD4A42">
                              <w:rPr>
                                <w:rFonts w:ascii="Arial" w:hAnsi="Arial" w:cs="Arial"/>
                                <w:sz w:val="16"/>
                                <w:szCs w:val="16"/>
                              </w:rPr>
                              <w:fldChar w:fldCharType="begin" w:fldLock="1"/>
                            </w:r>
                            <w:r w:rsidR="009E0BAE">
                              <w:rPr>
                                <w:rFonts w:ascii="Arial" w:hAnsi="Arial" w:cs="Arial"/>
                                <w:sz w:val="16"/>
                                <w:szCs w:val="16"/>
                              </w:rPr>
                              <w:instrText>ADDIN CSL_CITATION { "citationItems" : [ { "id" : "ITEM-1", "itemData" : { "DOI" : "10.1038/nrmicro2382", "ISSN" : "1740-1534", "PMID" : "20601965", "abstract" : "Integrative and conjugative elements (ICEs) are a diverse group of mobile genetic elements found in both Gram-positive and Gram-negative bacteria. These elements primarily reside in a host chromosome but retain the ability to excise and to transfer by conjugation. Although ICEs use a range of mechanisms to promote their core functions of integration, excision, transfer and regulation, there are common features that unify the group. This Review compares and contrasts the core functions for some of the well-studied ICEs and discusses them in the broader context of mobile-element and genome evolution.", "author" : [ { "dropping-particle" : "", "family" : "Wozniak", "given" : "Rachel A F", "non-dropping-particle" : "", "parse-names" : false, "suffix" : "" }, { "dropping-particle" : "", "family" : "Waldor", "given" : "Matthew K", "non-dropping-particle" : "", "parse-names" : false, "suffix" : "" } ], "container-title" : "Nature Reviews Microbiology", "id" : "ITEM-1", "issue" : "8", "issued" : { "date-parts" : [ [ "2010", "8" ] ] }, "page" : "552-63", "publisher" : "Nature Publishing Group", "title" : "Integrative and conjugative elements: mosaic mobile genetic elements enabling dynamic lateral gene flow.", "type" : "article-journal", "volume" : "8" }, "uris" : [ "http://www.mendeley.com/documents/?uuid=35226cb5-f7c1-459d-bc1e-2c36491f589b" ] } ], "mendeley" : { "formattedCitation" : "&lt;sup&gt;40&lt;/sup&gt;", "plainTextFormattedCitation" : "40", "previouslyFormattedCitation" : "&lt;sup&gt;41&lt;/sup&gt;" }, "properties" : { "noteIndex" : 0 }, "schema" : "https://github.com/citation-style-language/schema/raw/master/csl-citation.json" }</w:instrText>
                            </w:r>
                            <w:r w:rsidRPr="00FD4A42">
                              <w:rPr>
                                <w:rFonts w:ascii="Arial" w:hAnsi="Arial" w:cs="Arial"/>
                                <w:sz w:val="16"/>
                                <w:szCs w:val="16"/>
                              </w:rPr>
                              <w:fldChar w:fldCharType="separate"/>
                            </w:r>
                            <w:r w:rsidR="009E0BAE" w:rsidRPr="009E0BAE">
                              <w:rPr>
                                <w:rFonts w:ascii="Arial" w:hAnsi="Arial" w:cs="Arial"/>
                                <w:noProof/>
                                <w:sz w:val="16"/>
                                <w:szCs w:val="16"/>
                                <w:vertAlign w:val="superscript"/>
                              </w:rPr>
                              <w:t>40</w:t>
                            </w:r>
                            <w:r w:rsidRPr="00FD4A42">
                              <w:rPr>
                                <w:rFonts w:ascii="Arial" w:hAnsi="Arial" w:cs="Arial"/>
                                <w:sz w:val="16"/>
                                <w:szCs w:val="16"/>
                              </w:rPr>
                              <w:fldChar w:fldCharType="end"/>
                            </w:r>
                          </w:p>
                          <w:p w14:paraId="197B5348" w14:textId="77777777" w:rsidR="008F211C" w:rsidRDefault="008F211C" w:rsidP="00A05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539.3pt;margin-top:71.1pt;width:145.9pt;height:31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" fillcolor="yellow" stroked="f" strokeweight=".5pt">
                <v:textbox>
                  <w:txbxContent>
                    <w:p w14:paraId="4E0529A0" w14:textId="731596EC" w:rsidR="008F211C" w:rsidRPr="00827B57" w:rsidRDefault="008F211C" w:rsidP="00A053CE">
                      <w:pPr>
                        <w:rPr>
                          <w:rFonts w:ascii="Arial" w:hAnsi="Arial" w:cs="Arial"/>
                          <w:b/>
                          <w:sz w:val="16"/>
                          <w:szCs w:val="16"/>
                          <w:u w:val="single"/>
                        </w:rPr>
                      </w:pPr>
                      <w:r w:rsidRPr="00827B57">
                        <w:rPr>
                          <w:rFonts w:ascii="Arial" w:hAnsi="Arial" w:cs="Arial"/>
                          <w:b/>
                          <w:sz w:val="16"/>
                          <w:szCs w:val="16"/>
                          <w:u w:val="single"/>
                        </w:rPr>
                        <w:t xml:space="preserve">Clinical </w:t>
                      </w:r>
                      <w:r>
                        <w:rPr>
                          <w:rFonts w:ascii="Arial" w:hAnsi="Arial" w:cs="Arial"/>
                          <w:b/>
                          <w:sz w:val="16"/>
                          <w:szCs w:val="16"/>
                          <w:u w:val="single"/>
                        </w:rPr>
                        <w:t>examples</w:t>
                      </w:r>
                      <w:r w:rsidRPr="00827B57">
                        <w:rPr>
                          <w:rFonts w:ascii="Arial" w:hAnsi="Arial" w:cs="Arial"/>
                          <w:b/>
                          <w:sz w:val="16"/>
                          <w:szCs w:val="16"/>
                          <w:u w:val="single"/>
                        </w:rPr>
                        <w:t>:</w:t>
                      </w:r>
                    </w:p>
                    <w:p w14:paraId="371AC81A" w14:textId="0A63C78A" w:rsidR="008F211C" w:rsidRPr="00FD4A42" w:rsidRDefault="008F211C" w:rsidP="00A053CE">
                      <w:pPr>
                        <w:rPr>
                          <w:rFonts w:ascii="Arial" w:hAnsi="Arial" w:cs="Arial"/>
                          <w:sz w:val="16"/>
                          <w:szCs w:val="16"/>
                        </w:rPr>
                      </w:pPr>
                      <w:r>
                        <w:rPr>
                          <w:rFonts w:ascii="Arial" w:hAnsi="Arial" w:cs="Arial"/>
                          <w:sz w:val="16"/>
                          <w:szCs w:val="16"/>
                        </w:rPr>
                        <w:t>R</w:t>
                      </w:r>
                      <w:r w:rsidRPr="00FD4A42">
                        <w:rPr>
                          <w:rFonts w:ascii="Arial" w:hAnsi="Arial" w:cs="Arial"/>
                          <w:sz w:val="16"/>
                          <w:szCs w:val="16"/>
                        </w:rPr>
                        <w:t xml:space="preserve">esponsible for the global dissemination of genes encoding carbapenemases </w:t>
                      </w:r>
                      <w:r>
                        <w:rPr>
                          <w:rFonts w:ascii="Arial" w:hAnsi="Arial" w:cs="Arial"/>
                          <w:sz w:val="16"/>
                          <w:szCs w:val="16"/>
                        </w:rPr>
                        <w:t>(</w:t>
                      </w:r>
                      <w:r w:rsidRPr="00FD4A42">
                        <w:rPr>
                          <w:rFonts w:ascii="Arial" w:hAnsi="Arial" w:cs="Arial"/>
                          <w:sz w:val="16"/>
                          <w:szCs w:val="16"/>
                        </w:rPr>
                        <w:t>resistance mechanisms of particular clinical concern</w:t>
                      </w:r>
                      <w:r>
                        <w:rPr>
                          <w:rFonts w:ascii="Arial" w:hAnsi="Arial" w:cs="Arial"/>
                          <w:sz w:val="16"/>
                          <w:szCs w:val="16"/>
                        </w:rPr>
                        <w:t>)</w:t>
                      </w:r>
                      <w:r w:rsidRPr="00FD4A42">
                        <w:rPr>
                          <w:rFonts w:ascii="Arial" w:hAnsi="Arial" w:cs="Arial"/>
                          <w:sz w:val="16"/>
                          <w:szCs w:val="16"/>
                        </w:rPr>
                        <w:t xml:space="preserve">  including New Delhi Metallo-β-lactamase (NDM) and </w:t>
                      </w:r>
                      <w:r w:rsidRPr="00FD4A42">
                        <w:rPr>
                          <w:rFonts w:ascii="Arial" w:hAnsi="Arial" w:cs="Arial"/>
                          <w:i/>
                          <w:sz w:val="16"/>
                          <w:szCs w:val="16"/>
                        </w:rPr>
                        <w:t xml:space="preserve">Klebsiella pneumoniae </w:t>
                      </w:r>
                      <w:r w:rsidRPr="00FD4A42">
                        <w:rPr>
                          <w:rFonts w:ascii="Arial" w:hAnsi="Arial" w:cs="Arial"/>
                          <w:sz w:val="16"/>
                          <w:szCs w:val="16"/>
                        </w:rPr>
                        <w:t>carbapenemase (KPC) enzymes, as well as ESβLs</w:t>
                      </w:r>
                      <w:r>
                        <w:rPr>
                          <w:rFonts w:ascii="Arial" w:hAnsi="Arial" w:cs="Arial"/>
                          <w:sz w:val="16"/>
                          <w:szCs w:val="16"/>
                        </w:rPr>
                        <w:t>.</w:t>
                      </w:r>
                      <w:r>
                        <w:rPr>
                          <w:rFonts w:ascii="Arial" w:hAnsi="Arial" w:cs="Arial"/>
                          <w:sz w:val="16"/>
                          <w:szCs w:val="16"/>
                        </w:rPr>
                        <w:fldChar w:fldCharType="begin" w:fldLock="1"/>
                      </w:r>
                      <w:r>
                        <w:rPr>
                          <w:rFonts w:ascii="Arial" w:hAnsi="Arial" w:cs="Arial"/>
                          <w:sz w:val="16"/>
                          <w:szCs w:val="16"/>
                        </w:rPr>
                        <w:instrText>ADDIN CSL_CITATION { "citationItems" : [ { "id" : "ITEM-1", "itemData" : { "DOI" : "10.1016/S1473-3099(11)70059-7", "ISSN" : "1474-4457", "PMID" : "21478057", "abstract" : "BACKGROUND: Not all patients infected with NDM-1-positive bacteria have a history of hospital admission in India, and extended-spectrum \u03b2-lactamases are known to be circulating in the Indian community. We therefore measured the prevalence of the NDM-1 gene in drinking water and seepage samples in New Delhi. METHODS: Swabs absorbing about 100 \u03bcL of seepage water (ie, water pools in streets or rivulets) and 15 mL samples of public tap water were collected from sites within a 12 km radius of central New Delhi, with each site photographed and documented. Samples were transported to the UK and tested for the presence of the NDM-1 gene, bla(NDM-1), by PCR and DNA probing. As a control group, 100 \u03bcL sewage effluent samples were taken from the Cardiff Wastewater Treatment Works, Tremorfa, Wales. Bacteria from all samples were recovered and examined for bla(NDM-1) by PCR and sequencing. We identified NDM-1-positive isolates, undertook susceptibility testing, and, where appropriate, typed the isolates. We undertook Inc typing on bla(NDM-1)-positive plasmids. Transconjugants were created to assess plasmid transfer frequency and its relation to temperature. FINDINGS: From Sept 26 to Oct 10, 2010, 171 seepage samples and 50 tap water samples from New Delhi and 70 sewage effluent samples from Cardiff Wastewater Treatment Works were collected. We detected bla(NDM-1) in two of 50 drinking-water samples and 51 of 171 seepage samples from New Delhi; the gene was not found in any sample from Cardiff. Bacteria with bla(NDM-1) were grown from 12 of 171 seepage samples and two of 50 water samples, and included 11 species in which NDM-1 has not previously been reported, including Shigella boydii and Vibrio cholerae. Carriage by enterobacteria, aeromonads, and V cholera was stable, generally transmissible, and associated with resistance patterns typical for NDM-1; carriage by non-fermenters was unstable in many cases and not associated with typical resistance. 20 strains of bacteria were found in the samples, 12 of which carried bla(NDM-1) on plasmids, which ranged in size from 140 to 400 kb. Isolates of Aeromonas caviae and V cholerae carried bla(NDM-1) on chromosomes. Conjugative transfer was more common at 30\u00b0C than at 25\u00b0C or 37\u00b0C. INTERPRETATION: The presence of NDM-1 \u03b2-lactamase-producing bacteria in environmental samples in New Delhi has important implications for people living in the city who are reliant on public water and sanitation facilities. International surveill\u2026", "author" : [ { "dropping-particle" : "", "family" : "Walsh", "given" : "Timothy R", "non-dropping-particle" : "", "parse-names" : false, "suffix" : "" }, { "dropping-particle" : "", "family" : "Weeks", "given" : "Janis", "non-dropping-particle" : "", "parse-names" : false, "suffix" : "" }, { "dropping-particle" : "", "family" : "Livermore", "given" : "David M", "non-dropping-particle" : "", "parse-names" : false, "suffix" : "" }, { "dropping-particle" : "", "family" : "Toleman", "given" : "Mark A", "non-dropping-particle" : "", "parse-names" : false, "suffix" : "" } ], "container-title" : "Lancet Infectious Diseases", "id" : "ITEM-1", "issue" : "5", "issued" : { "date-parts" : [ [ "2011", "5" ] ] }, "page" : "355-62", "publisher" : "Elsevier Ltd", "title" : "Dissemination of NDM-1 positive bacteria in the New Delhi environment and its implications for human health: an environmental point prevalence study.", "type" : "article-journal", "volume" : "11" }, "uris" : [ "http://www.mendeley.com/documents/?uuid=f61619f4-a439-46ef-bb5d-494f1efb9f7a" ] } ], "mendeley" : { "formattedCitation" : "&lt;sup&gt;15&lt;/sup&gt;", "plainTextFormattedCitation" : "15", "previouslyFormattedCitation" : "&lt;sup&gt;15&lt;/sup&gt;" }, "properties" : { "noteIndex" : 0 }, "schema" : "https://github.com/citation-style-language/schema/raw/master/csl-citation.json" }</w:instrText>
                      </w:r>
                      <w:r>
                        <w:rPr>
                          <w:rFonts w:ascii="Arial" w:hAnsi="Arial" w:cs="Arial"/>
                          <w:sz w:val="16"/>
                          <w:szCs w:val="16"/>
                        </w:rPr>
                        <w:fldChar w:fldCharType="separate"/>
                      </w:r>
                      <w:r w:rsidRPr="003234D2">
                        <w:rPr>
                          <w:rFonts w:ascii="Arial" w:hAnsi="Arial" w:cs="Arial"/>
                          <w:noProof/>
                          <w:sz w:val="16"/>
                          <w:szCs w:val="16"/>
                          <w:vertAlign w:val="superscript"/>
                        </w:rPr>
                        <w:t>15</w:t>
                      </w:r>
                      <w:r>
                        <w:rPr>
                          <w:rFonts w:ascii="Arial" w:hAnsi="Arial" w:cs="Arial"/>
                          <w:sz w:val="16"/>
                          <w:szCs w:val="16"/>
                        </w:rPr>
                        <w:fldChar w:fldCharType="end"/>
                      </w:r>
                      <w:r w:rsidRPr="00FD4A42">
                        <w:rPr>
                          <w:rFonts w:ascii="Arial" w:hAnsi="Arial" w:cs="Arial"/>
                          <w:noProof/>
                          <w:sz w:val="16"/>
                          <w:szCs w:val="16"/>
                        </w:rPr>
                        <w:t xml:space="preserve"> Whilst many </w:t>
                      </w:r>
                      <w:r>
                        <w:rPr>
                          <w:rFonts w:ascii="Arial" w:hAnsi="Arial" w:cs="Arial"/>
                          <w:noProof/>
                          <w:sz w:val="16"/>
                          <w:szCs w:val="16"/>
                        </w:rPr>
                        <w:t>AMR</w:t>
                      </w:r>
                      <w:r w:rsidRPr="00FD4A42">
                        <w:rPr>
                          <w:rFonts w:ascii="Arial" w:hAnsi="Arial" w:cs="Arial"/>
                          <w:noProof/>
                          <w:sz w:val="16"/>
                          <w:szCs w:val="16"/>
                        </w:rPr>
                        <w:t xml:space="preserve"> genes can be carried by many different plasmids some</w:t>
                      </w:r>
                      <w:r>
                        <w:rPr>
                          <w:rFonts w:ascii="Arial" w:hAnsi="Arial" w:cs="Arial"/>
                          <w:noProof/>
                          <w:sz w:val="16"/>
                          <w:szCs w:val="16"/>
                        </w:rPr>
                        <w:t>,</w:t>
                      </w:r>
                      <w:r w:rsidRPr="00FD4A42">
                        <w:rPr>
                          <w:rFonts w:ascii="Arial" w:hAnsi="Arial" w:cs="Arial"/>
                          <w:noProof/>
                          <w:sz w:val="16"/>
                          <w:szCs w:val="16"/>
                        </w:rPr>
                        <w:t xml:space="preserve"> such as those of the </w:t>
                      </w:r>
                      <w:proofErr w:type="spellStart"/>
                      <w:r w:rsidRPr="00FD4A42">
                        <w:rPr>
                          <w:rFonts w:ascii="Arial" w:hAnsi="Arial" w:cs="Arial"/>
                          <w:sz w:val="16"/>
                          <w:szCs w:val="16"/>
                        </w:rPr>
                        <w:t>IncFII</w:t>
                      </w:r>
                      <w:proofErr w:type="spellEnd"/>
                      <w:r w:rsidRPr="00FD4A42">
                        <w:rPr>
                          <w:rFonts w:ascii="Arial" w:hAnsi="Arial" w:cs="Arial"/>
                          <w:sz w:val="16"/>
                          <w:szCs w:val="16"/>
                        </w:rPr>
                        <w:t xml:space="preserve"> group</w:t>
                      </w:r>
                      <w:r>
                        <w:rPr>
                          <w:rFonts w:ascii="Arial" w:hAnsi="Arial" w:cs="Arial"/>
                          <w:sz w:val="16"/>
                          <w:szCs w:val="16"/>
                        </w:rPr>
                        <w:t>,</w:t>
                      </w:r>
                      <w:r w:rsidRPr="00FD4A42">
                        <w:rPr>
                          <w:rFonts w:ascii="Arial" w:hAnsi="Arial" w:cs="Arial"/>
                          <w:sz w:val="16"/>
                          <w:szCs w:val="16"/>
                        </w:rPr>
                        <w:t xml:space="preserve"> </w:t>
                      </w:r>
                      <w:r>
                        <w:rPr>
                          <w:rFonts w:ascii="Arial" w:hAnsi="Arial" w:cs="Arial"/>
                          <w:sz w:val="16"/>
                          <w:szCs w:val="16"/>
                        </w:rPr>
                        <w:t>are</w:t>
                      </w:r>
                      <w:r w:rsidRPr="00FD4A42">
                        <w:rPr>
                          <w:rFonts w:ascii="Arial" w:hAnsi="Arial" w:cs="Arial"/>
                          <w:sz w:val="16"/>
                          <w:szCs w:val="16"/>
                        </w:rPr>
                        <w:t xml:space="preserve"> responsible for much of the dissemination of particular resistances such as the ESβL CTX-M-15.</w:t>
                      </w:r>
                      <w:r w:rsidRPr="00FD4A42">
                        <w:rPr>
                          <w:rFonts w:ascii="Arial" w:hAnsi="Arial" w:cs="Arial"/>
                          <w:sz w:val="16"/>
                          <w:szCs w:val="16"/>
                        </w:rPr>
                        <w:fldChar w:fldCharType="begin" w:fldLock="1"/>
                      </w:r>
                      <w:r w:rsidR="009E0BAE">
                        <w:rPr>
                          <w:rFonts w:ascii="Arial" w:hAnsi="Arial" w:cs="Arial"/>
                          <w:sz w:val="16"/>
                          <w:szCs w:val="16"/>
                        </w:rPr>
                        <w:instrText>ADDIN CSL_CITATION { "citationItems" : [ { "id" : "ITEM-1", "itemData" : { "DOI" : "10.1093/jac/dkq463", "ISBN" : "2083276264", "ISSN" : "1460-2091", "PMID" : "21131323", "abstract" : "OBJECTIVES: Between January 2004 and May 2006 Escherichia coli producing extended-spectrum \u03b2-lactamases (ESBLs) were isolated from the faeces of 118/294 residents from 16 nursing homes in Belfast. Of these, 58 isolates belonged to UK strain A, a variant of the international ST131 clone. Here we investigated the remaining 60 ESBL producers. METHODS: MICs were determined and interpreted using BSAC methodology. Isolates were characterized by phylogenetic typing, real-time PCR and PFGE. Plasmids were rep typed by PCR and their similarity to IncI1 reference plasmid pEK204 was investigated by restriction fragment length polymorphism analysis. The molecular environments surrounding bla(CTX-M) were determined by DNA sequencing and PCR. RESULTS: Fifty-nine of 60 isolates belonged to the B2, ST131 lineage; of these 28 belonged to the previously defined UK strain C, while the other 31 were clustered into five groups by PFGE. Forty-nine isolates harboured bla(CTX-M-3) on plasmids of five different rep types (I1, FIA, FIA-FIB, N and Y) and 11 harboured bla(CTX-M-15) on F-type plasmids (FIA and FIA-FIB). All CTX-M-3 ESBL producers and three with CTX-M-15 ESBL had an intact copy of ISEcp1 immediately upstream of bla(CTX-M); the remaining eight with CTX-M-15 ESBL had a truncated ISEcp1. CONCLUSIONS: Gut colonization among nursing home residents in Belfast with ciprofloxacin-resistant E. coli producing ESBLs almost entirely involves clonal spread of ST131 variants, with similar genetic environments for bla(CTX-M-3) or bla(CTX-M-15) as in pEK204 and pEK499. Such diversity indicates dissemination of both plasmids and ESBL genes among a single commonly multiresistant clone.", "author" : [ { "dropping-particle" : "", "family" : "Dhanji", "given" : "Hiran", "non-dropping-particle" : "", "parse-names" : false, "suffix" : "" }, { "dropping-particle" : "", "family" : "Doumith", "given" : "Michel", "non-dropping-particle" : "", "parse-names" : false, "suffix" : "" }, { "dropping-particle" : "", "family" : "Rooney", "given" : "Paul J", "non-dropping-particle" : "", "parse-names" : false, "suffix" : "" }, { "dropping-particle" : "", "family" : "O'Leary", "given" : "Maureen C", "non-dropping-particle" : "", "parse-names" : false, "suffix" : "" }, { "dropping-particle" : "", "family" : "Loughrey", "given" : "Anne C", "non-dropping-particle" : "", "parse-names" : false, "suffix" : "" }, { "dropping-particle" : "", "family" : "Hope", "given" : "Russell", "non-dropping-particle" : "", "parse-names" : false, "suffix" : "" }, { "dropping-particle" : "", "family" : "Woodford", "given" : "Neil", "non-dropping-particle" : "", "parse-names" : false, "suffix" : "" }, { "dropping-particle" : "", "family" : "Livermore", "given" : "David M", "non-dropping-particle" : "", "parse-names" : false, "suffix" : "" } ], "container-title" : "Journal of Antimicrobial Chemotherapy", "id" : "ITEM-1", "issue" : "2", "issued" : { "date-parts" : [ [ "2011", "2" ] ] }, "page" : "297-303", "title" : "Molecular epidemiology of fluoroquinolone-resistant ST131 Escherichia coli producing CTX-M extended-spectrum beta-lactamases in nursing homes in Belfast, UK.", "type" : "article-journal", "volume" : "66" }, "uris" : [ "http://www.mendeley.com/documents/?uuid=7bddbced-ea58-4555-a2d0-4c6e9d348fe3" ] } ], "mendeley" : { "formattedCitation" : "&lt;sup&gt;39&lt;/sup&gt;", "plainTextFormattedCitation" : "39", "previouslyFormattedCitation" : "&lt;sup&gt;40&lt;/sup&gt;" }, "properties" : { "noteIndex" : 0 }, "schema" : "https://github.com/citation-style-language/schema/raw/master/csl-citation.json" }</w:instrText>
                      </w:r>
                      <w:r w:rsidRPr="00FD4A42">
                        <w:rPr>
                          <w:rFonts w:ascii="Arial" w:hAnsi="Arial" w:cs="Arial"/>
                          <w:sz w:val="16"/>
                          <w:szCs w:val="16"/>
                        </w:rPr>
                        <w:fldChar w:fldCharType="separate"/>
                      </w:r>
                      <w:r w:rsidR="009E0BAE" w:rsidRPr="009E0BAE">
                        <w:rPr>
                          <w:rFonts w:ascii="Arial" w:hAnsi="Arial" w:cs="Arial"/>
                          <w:noProof/>
                          <w:sz w:val="16"/>
                          <w:szCs w:val="16"/>
                          <w:vertAlign w:val="superscript"/>
                        </w:rPr>
                        <w:t>39</w:t>
                      </w:r>
                      <w:r w:rsidRPr="00FD4A42">
                        <w:rPr>
                          <w:rFonts w:ascii="Arial" w:hAnsi="Arial" w:cs="Arial"/>
                          <w:sz w:val="16"/>
                          <w:szCs w:val="16"/>
                        </w:rPr>
                        <w:fldChar w:fldCharType="end"/>
                      </w:r>
                      <w:r w:rsidRPr="00FD4A42">
                        <w:rPr>
                          <w:rFonts w:ascii="Arial" w:hAnsi="Arial" w:cs="Arial"/>
                          <w:sz w:val="16"/>
                          <w:szCs w:val="16"/>
                        </w:rPr>
                        <w:t xml:space="preserve"> Some plasmids also appear restricted and have a narrow host range; this includes those that have spread OXA-48-like carbapenemases </w:t>
                      </w:r>
                      <w:r>
                        <w:rPr>
                          <w:rFonts w:ascii="Arial" w:hAnsi="Arial" w:cs="Arial"/>
                          <w:sz w:val="16"/>
                          <w:szCs w:val="16"/>
                        </w:rPr>
                        <w:t>among</w:t>
                      </w:r>
                      <w:r w:rsidRPr="00FD4A42">
                        <w:rPr>
                          <w:rFonts w:ascii="Arial" w:hAnsi="Arial" w:cs="Arial"/>
                          <w:sz w:val="16"/>
                          <w:szCs w:val="16"/>
                        </w:rPr>
                        <w:t xml:space="preserve"> Enterobacteriaceae. There are also elements that can transfer genes between plasmids and the bacterial host chromosome and these integrative chromosomal </w:t>
                      </w:r>
                      <w:r w:rsidRPr="00485EBB">
                        <w:rPr>
                          <w:rFonts w:ascii="Arial" w:hAnsi="Arial" w:cs="Arial"/>
                          <w:sz w:val="16"/>
                          <w:szCs w:val="16"/>
                        </w:rPr>
                        <w:t>elements</w:t>
                      </w:r>
                      <w:r>
                        <w:rPr>
                          <w:rFonts w:ascii="Arial" w:hAnsi="Arial" w:cs="Arial"/>
                          <w:sz w:val="16"/>
                          <w:szCs w:val="16"/>
                        </w:rPr>
                        <w:t xml:space="preserve"> </w:t>
                      </w:r>
                      <w:r w:rsidRPr="00485EBB">
                        <w:rPr>
                          <w:rFonts w:ascii="Arial" w:hAnsi="Arial" w:cs="Arial"/>
                          <w:sz w:val="16"/>
                          <w:szCs w:val="16"/>
                          <w:highlight w:val="yellow"/>
                          <w:shd w:val="clear" w:color="auto" w:fill="FFFFFF"/>
                        </w:rPr>
                        <w:t>(</w:t>
                      </w:r>
                      <w:r w:rsidRPr="00485EBB">
                        <w:rPr>
                          <w:rFonts w:ascii="Arial" w:hAnsi="Arial" w:cs="Arial"/>
                          <w:sz w:val="16"/>
                          <w:szCs w:val="16"/>
                        </w:rPr>
                        <w:t>ICEs</w:t>
                      </w:r>
                      <w:r>
                        <w:rPr>
                          <w:rFonts w:ascii="Arial" w:hAnsi="Arial" w:cs="Arial"/>
                          <w:sz w:val="16"/>
                          <w:szCs w:val="16"/>
                        </w:rPr>
                        <w:t>)</w:t>
                      </w:r>
                      <w:r w:rsidRPr="00FD4A42">
                        <w:rPr>
                          <w:rFonts w:ascii="Arial" w:hAnsi="Arial" w:cs="Arial"/>
                          <w:sz w:val="16"/>
                          <w:szCs w:val="16"/>
                        </w:rPr>
                        <w:t xml:space="preserve"> can carry genes conferring resistance to drugs including ampicillin, chloramphenicol, erythromycin, kanamycin, tetracycline and </w:t>
                      </w:r>
                      <w:proofErr w:type="spellStart"/>
                      <w:r w:rsidRPr="00FD4A42">
                        <w:rPr>
                          <w:rFonts w:ascii="Arial" w:hAnsi="Arial" w:cs="Arial"/>
                          <w:sz w:val="16"/>
                          <w:szCs w:val="16"/>
                        </w:rPr>
                        <w:t>sulfamethoxazole</w:t>
                      </w:r>
                      <w:proofErr w:type="spellEnd"/>
                      <w:r w:rsidRPr="00FD4A42">
                        <w:rPr>
                          <w:rFonts w:ascii="Arial" w:hAnsi="Arial" w:cs="Arial"/>
                          <w:sz w:val="16"/>
                          <w:szCs w:val="16"/>
                        </w:rPr>
                        <w:t xml:space="preserve"> in a range of Gram-negative species and Streptococci.</w:t>
                      </w:r>
                      <w:r w:rsidRPr="00FD4A42">
                        <w:rPr>
                          <w:rFonts w:ascii="Arial" w:hAnsi="Arial" w:cs="Arial"/>
                          <w:sz w:val="16"/>
                          <w:szCs w:val="16"/>
                        </w:rPr>
                        <w:fldChar w:fldCharType="begin" w:fldLock="1"/>
                      </w:r>
                      <w:r w:rsidR="009E0BAE">
                        <w:rPr>
                          <w:rFonts w:ascii="Arial" w:hAnsi="Arial" w:cs="Arial"/>
                          <w:sz w:val="16"/>
                          <w:szCs w:val="16"/>
                        </w:rPr>
                        <w:instrText>ADDIN CSL_CITATION { "citationItems" : [ { "id" : "ITEM-1", "itemData" : { "DOI" : "10.1038/nrmicro2382", "ISSN" : "1740-1534", "PMID" : "20601965", "abstract" : "Integrative and conjugative elements (ICEs) are a diverse group of mobile genetic elements found in both Gram-positive and Gram-negative bacteria. These elements primarily reside in a host chromosome but retain the ability to excise and to transfer by conjugation. Although ICEs use a range of mechanisms to promote their core functions of integration, excision, transfer and regulation, there are common features that unify the group. This Review compares and contrasts the core functions for some of the well-studied ICEs and discusses them in the broader context of mobile-element and genome evolution.", "author" : [ { "dropping-particle" : "", "family" : "Wozniak", "given" : "Rachel A F", "non-dropping-particle" : "", "parse-names" : false, "suffix" : "" }, { "dropping-particle" : "", "family" : "Waldor", "given" : "Matthew K", "non-dropping-particle" : "", "parse-names" : false, "suffix" : "" } ], "container-title" : "Nature Reviews Microbiology", "id" : "ITEM-1", "issue" : "8", "issued" : { "date-parts" : [ [ "2010", "8" ] ] }, "page" : "552-63", "publisher" : "Nature Publishing Group", "title" : "Integrative and conjugative elements: mosaic mobile genetic elements enabling dynamic lateral gene flow.", "type" : "article-journal", "volume" : "8" }, "uris" : [ "http://www.mendeley.com/documents/?uuid=35226cb5-f7c1-459d-bc1e-2c36491f589b" ] } ], "mendeley" : { "formattedCitation" : "&lt;sup&gt;40&lt;/sup&gt;", "plainTextFormattedCitation" : "40", "previouslyFormattedCitation" : "&lt;sup&gt;41&lt;/sup&gt;" }, "properties" : { "noteIndex" : 0 }, "schema" : "https://github.com/citation-style-language/schema/raw/master/csl-citation.json" }</w:instrText>
                      </w:r>
                      <w:r w:rsidRPr="00FD4A42">
                        <w:rPr>
                          <w:rFonts w:ascii="Arial" w:hAnsi="Arial" w:cs="Arial"/>
                          <w:sz w:val="16"/>
                          <w:szCs w:val="16"/>
                        </w:rPr>
                        <w:fldChar w:fldCharType="separate"/>
                      </w:r>
                      <w:r w:rsidR="009E0BAE" w:rsidRPr="009E0BAE">
                        <w:rPr>
                          <w:rFonts w:ascii="Arial" w:hAnsi="Arial" w:cs="Arial"/>
                          <w:noProof/>
                          <w:sz w:val="16"/>
                          <w:szCs w:val="16"/>
                          <w:vertAlign w:val="superscript"/>
                        </w:rPr>
                        <w:t>40</w:t>
                      </w:r>
                      <w:r w:rsidRPr="00FD4A42">
                        <w:rPr>
                          <w:rFonts w:ascii="Arial" w:hAnsi="Arial" w:cs="Arial"/>
                          <w:sz w:val="16"/>
                          <w:szCs w:val="16"/>
                        </w:rPr>
                        <w:fldChar w:fldCharType="end"/>
                      </w:r>
                    </w:p>
                    <w:p w14:paraId="197B5348" w14:textId="77777777" w:rsidR="008F211C" w:rsidRDefault="008F211C" w:rsidP="00A053CE"/>
                  </w:txbxContent>
                </v:textbox>
              </v:shape>
            </w:pict>
          </mc:Fallback>
        </mc:AlternateContent>
      </w:r>
      <w:r w:rsidR="003D4C10" w:rsidRPr="000767AE">
        <w:rPr>
          <w:rFonts w:ascii="Arial" w:hAnsi="Arial" w:cs="Arial"/>
          <w:b/>
          <w:noProof/>
          <w:lang w:eastAsia="en-GB"/>
        </w:rPr>
        <mc:AlternateContent>
          <mc:Choice Requires="wps">
            <w:drawing>
              <wp:anchor distT="0" distB="0" distL="114300" distR="114300" simplePos="0" relativeHeight="251704320" behindDoc="0" locked="0" layoutInCell="1" allowOverlap="1" wp14:anchorId="357B7D78" wp14:editId="43EE3742">
                <wp:simplePos x="0" y="0"/>
                <wp:positionH relativeFrom="column">
                  <wp:posOffset>129395</wp:posOffset>
                </wp:positionH>
                <wp:positionV relativeFrom="paragraph">
                  <wp:posOffset>963774</wp:posOffset>
                </wp:positionV>
                <wp:extent cx="1337095" cy="3095625"/>
                <wp:effectExtent l="0" t="0" r="15875" b="28575"/>
                <wp:wrapNone/>
                <wp:docPr id="13" name="Text Box 13"/>
                <wp:cNvGraphicFramePr/>
                <a:graphic xmlns:a="http://schemas.openxmlformats.org/drawingml/2006/main">
                  <a:graphicData uri="http://schemas.microsoft.com/office/word/2010/wordprocessingShape">
                    <wps:wsp>
                      <wps:cNvSpPr txBox="1"/>
                      <wps:spPr>
                        <a:xfrm>
                          <a:off x="0" y="0"/>
                          <a:ext cx="1337095" cy="3095625"/>
                        </a:xfrm>
                        <a:prstGeom prst="rect">
                          <a:avLst/>
                        </a:prstGeom>
                        <a:solidFill>
                          <a:srgbClr val="92D050"/>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29E63C" w14:textId="713BDFAB" w:rsidR="008F211C" w:rsidRPr="00595D3A" w:rsidRDefault="008F211C" w:rsidP="00A053CE">
                            <w:pPr>
                              <w:rPr>
                                <w:rFonts w:ascii="Arial" w:hAnsi="Arial" w:cs="Arial"/>
                                <w:b/>
                                <w:sz w:val="16"/>
                                <w:szCs w:val="24"/>
                                <w:u w:val="single"/>
                              </w:rPr>
                            </w:pPr>
                            <w:r w:rsidRPr="00595D3A">
                              <w:rPr>
                                <w:rFonts w:ascii="Arial" w:hAnsi="Arial" w:cs="Arial"/>
                                <w:b/>
                                <w:sz w:val="16"/>
                                <w:szCs w:val="24"/>
                                <w:u w:val="single"/>
                              </w:rPr>
                              <w:t xml:space="preserve">Clinical </w:t>
                            </w:r>
                            <w:r>
                              <w:rPr>
                                <w:rFonts w:ascii="Arial" w:hAnsi="Arial" w:cs="Arial"/>
                                <w:b/>
                                <w:sz w:val="16"/>
                                <w:szCs w:val="24"/>
                                <w:u w:val="single"/>
                              </w:rPr>
                              <w:t>examples</w:t>
                            </w:r>
                            <w:r w:rsidRPr="00595D3A">
                              <w:rPr>
                                <w:rFonts w:ascii="Arial" w:hAnsi="Arial" w:cs="Arial"/>
                                <w:b/>
                                <w:sz w:val="16"/>
                                <w:szCs w:val="24"/>
                                <w:u w:val="single"/>
                              </w:rPr>
                              <w:t>:</w:t>
                            </w:r>
                          </w:p>
                          <w:p w14:paraId="3A724BB6" w14:textId="42A75E03" w:rsidR="008F211C" w:rsidRPr="00827B57" w:rsidRDefault="008F211C" w:rsidP="00A053CE">
                            <w:pPr>
                              <w:rPr>
                                <w:rFonts w:ascii="Arial" w:hAnsi="Arial" w:cs="Arial"/>
                                <w:sz w:val="16"/>
                                <w:szCs w:val="24"/>
                              </w:rPr>
                            </w:pPr>
                            <w:r>
                              <w:rPr>
                                <w:rFonts w:ascii="Arial" w:hAnsi="Arial" w:cs="Arial"/>
                                <w:sz w:val="16"/>
                                <w:szCs w:val="24"/>
                              </w:rPr>
                              <w:t>Transduction</w:t>
                            </w:r>
                            <w:r w:rsidRPr="00827B57">
                              <w:rPr>
                                <w:rFonts w:ascii="Arial" w:hAnsi="Arial" w:cs="Arial"/>
                                <w:sz w:val="16"/>
                                <w:szCs w:val="24"/>
                              </w:rPr>
                              <w:t xml:space="preserve"> is common in staphylococci</w:t>
                            </w:r>
                            <w:r>
                              <w:rPr>
                                <w:rFonts w:ascii="Arial" w:hAnsi="Arial" w:cs="Arial"/>
                                <w:sz w:val="16"/>
                                <w:szCs w:val="24"/>
                              </w:rPr>
                              <w:t>,</w:t>
                            </w:r>
                            <w:r w:rsidRPr="00827B57">
                              <w:rPr>
                                <w:rFonts w:ascii="Arial" w:hAnsi="Arial" w:cs="Arial"/>
                                <w:sz w:val="16"/>
                                <w:szCs w:val="24"/>
                              </w:rPr>
                              <w:t xml:space="preserve"> </w:t>
                            </w:r>
                            <w:r>
                              <w:rPr>
                                <w:rFonts w:ascii="Arial" w:hAnsi="Arial" w:cs="Arial"/>
                                <w:sz w:val="16"/>
                                <w:szCs w:val="24"/>
                              </w:rPr>
                              <w:t>but beyond this specific example, b</w:t>
                            </w:r>
                            <w:r w:rsidRPr="00827B57">
                              <w:rPr>
                                <w:rFonts w:ascii="Arial" w:hAnsi="Arial" w:cs="Arial"/>
                                <w:sz w:val="16"/>
                                <w:szCs w:val="24"/>
                              </w:rPr>
                              <w:t>acteriophages are common, and it has been proposed that the</w:t>
                            </w:r>
                            <w:r>
                              <w:rPr>
                                <w:rFonts w:ascii="Arial" w:hAnsi="Arial" w:cs="Arial"/>
                                <w:sz w:val="16"/>
                                <w:szCs w:val="24"/>
                              </w:rPr>
                              <w:t>y represent</w:t>
                            </w:r>
                            <w:r w:rsidRPr="00827B57">
                              <w:rPr>
                                <w:rFonts w:ascii="Arial" w:hAnsi="Arial" w:cs="Arial"/>
                                <w:sz w:val="16"/>
                                <w:szCs w:val="24"/>
                              </w:rPr>
                              <w:t xml:space="preserve"> a reservoir of </w:t>
                            </w:r>
                            <w:r>
                              <w:rPr>
                                <w:rFonts w:ascii="Arial" w:hAnsi="Arial" w:cs="Arial"/>
                                <w:sz w:val="16"/>
                                <w:szCs w:val="24"/>
                              </w:rPr>
                              <w:t>AMR</w:t>
                            </w:r>
                            <w:r w:rsidRPr="00827B57">
                              <w:rPr>
                                <w:rFonts w:ascii="Arial" w:hAnsi="Arial" w:cs="Arial"/>
                                <w:sz w:val="16"/>
                                <w:szCs w:val="24"/>
                              </w:rPr>
                              <w:t xml:space="preserve"> genes. For instance, </w:t>
                            </w:r>
                            <w:r>
                              <w:rPr>
                                <w:rFonts w:ascii="Arial" w:hAnsi="Arial" w:cs="Arial"/>
                                <w:sz w:val="16"/>
                                <w:szCs w:val="24"/>
                              </w:rPr>
                              <w:t xml:space="preserve">such AMR genetic material </w:t>
                            </w:r>
                            <w:r w:rsidRPr="00827B57">
                              <w:rPr>
                                <w:rFonts w:ascii="Arial" w:hAnsi="Arial" w:cs="Arial"/>
                                <w:sz w:val="16"/>
                                <w:szCs w:val="24"/>
                              </w:rPr>
                              <w:t>ha</w:t>
                            </w:r>
                            <w:r>
                              <w:rPr>
                                <w:rFonts w:ascii="Arial" w:hAnsi="Arial" w:cs="Arial"/>
                                <w:sz w:val="16"/>
                                <w:szCs w:val="24"/>
                              </w:rPr>
                              <w:t>s</w:t>
                            </w:r>
                            <w:r w:rsidRPr="00827B57">
                              <w:rPr>
                                <w:rFonts w:ascii="Arial" w:hAnsi="Arial" w:cs="Arial"/>
                                <w:sz w:val="16"/>
                                <w:szCs w:val="24"/>
                              </w:rPr>
                              <w:t xml:space="preserve"> been identified in phage DNA isolated from activated sludge from wastewater treatment,</w:t>
                            </w:r>
                            <w:r w:rsidRPr="00827B57">
                              <w:rPr>
                                <w:rFonts w:ascii="Arial" w:hAnsi="Arial" w:cs="Arial"/>
                                <w:sz w:val="16"/>
                                <w:szCs w:val="24"/>
                              </w:rPr>
                              <w:fldChar w:fldCharType="begin" w:fldLock="1"/>
                            </w:r>
                            <w:r w:rsidR="009E0BAE">
                              <w:rPr>
                                <w:rFonts w:ascii="Arial" w:hAnsi="Arial" w:cs="Arial"/>
                                <w:sz w:val="16"/>
                                <w:szCs w:val="24"/>
                              </w:rPr>
                              <w:instrText>ADDIN CSL_CITATION { "citationItems" : [ { "id" : "ITEM-1", "itemData" : { "DOI" : "10.1128/AEM.03080-09", "ISSN" : "1098-5336", "PMID" : "20382816", "abstract" : "Using both sequence- and function-based metagenomic approaches, multiple antibiotic resistance determinants were identified within metagenomic libraries constructed from DNA extracted from bacterial chromosomes, plasmids, or viruses within an activated sludge microbial assemblage. Metagenomic clones and a plasmid that in Escherichia coli expressed resistance to chloramphenicol, ampicillin, or kanamycin were isolated, with many cloned DNA sequences lacking any significant homology to known antibiotic resistance determinants.", "author" : [ { "dropping-particle" : "", "family" : "Parsley", "given" : "Larissa C", "non-dropping-particle" : "", "parse-names" : false, "suffix" : "" }, { "dropping-particle" : "", "family" : "Consuegra", "given" : "Erin J", "non-dropping-particle" : "", "parse-names" : false, "suffix" : "" }, { "dropping-particle" : "", "family" : "Kakirde", "given" : "Kavita S", "non-dropping-particle" : "", "parse-names" : false, "suffix" : "" }, { "dropping-particle" : "", "family" : "Land", "given" : "Andrew M", "non-dropping-particle" : "", "parse-names" : false, "suffix" : "" }, { "dropping-particle" : "", "family" : "Harper", "given" : "Willie F", "non-dropping-particle" : "", "parse-names" : false, "suffix" : "" }, { "dropping-particle" : "", "family" : "Liles", "given" : "Mark R", "non-dropping-particle" : "", "parse-names" : false, "suffix" : "" } ], "container-title" : "Applied and Environmental Microbiology", "id" : "ITEM-1", "issue" : "11", "issued" : { "date-parts" : [ [ "2010", "6" ] ] }, "page" : "3753-7", "title" : "Identification of diverse antimicrobial resistance determinants carried on bacterial, plasmid, or viral metagenomes from an activated sludge microbial assemblage.", "type" : "article-journal", "volume" : "76" }, "uris" : [ "http://www.mendeley.com/documents/?uuid=fa49b4fb-7bc5-4569-a076-c90e78f2b62b" ] } ], "mendeley" : { "formattedCitation" : "&lt;sup&gt;36&lt;/sup&gt;", "plainTextFormattedCitation" : "36", "previouslyFormattedCitation" : "&lt;sup&gt;37&lt;/sup&gt;" }, "properties" : { "noteIndex" : 0 }, "schema" : "https://github.com/citation-style-language/schema/raw/master/csl-citation.json" }</w:instrText>
                            </w:r>
                            <w:r w:rsidRPr="00827B57">
                              <w:rPr>
                                <w:rFonts w:ascii="Arial" w:hAnsi="Arial" w:cs="Arial"/>
                                <w:sz w:val="16"/>
                                <w:szCs w:val="24"/>
                              </w:rPr>
                              <w:fldChar w:fldCharType="separate"/>
                            </w:r>
                            <w:r w:rsidR="009E0BAE" w:rsidRPr="009E0BAE">
                              <w:rPr>
                                <w:rFonts w:ascii="Arial" w:hAnsi="Arial" w:cs="Arial"/>
                                <w:noProof/>
                                <w:sz w:val="16"/>
                                <w:szCs w:val="24"/>
                                <w:vertAlign w:val="superscript"/>
                              </w:rPr>
                              <w:t>36</w:t>
                            </w:r>
                            <w:r w:rsidRPr="00827B57">
                              <w:rPr>
                                <w:rFonts w:ascii="Arial" w:hAnsi="Arial" w:cs="Arial"/>
                                <w:sz w:val="16"/>
                                <w:szCs w:val="24"/>
                              </w:rPr>
                              <w:fldChar w:fldCharType="end"/>
                            </w:r>
                            <w:r w:rsidRPr="00827B57">
                              <w:rPr>
                                <w:rFonts w:ascii="Arial" w:hAnsi="Arial" w:cs="Arial"/>
                                <w:sz w:val="16"/>
                                <w:szCs w:val="24"/>
                              </w:rPr>
                              <w:t xml:space="preserve"> and </w:t>
                            </w:r>
                            <w:r>
                              <w:rPr>
                                <w:rFonts w:ascii="Arial" w:hAnsi="Arial" w:cs="Arial"/>
                                <w:sz w:val="16"/>
                                <w:szCs w:val="24"/>
                              </w:rPr>
                              <w:t>specifically ES</w:t>
                            </w:r>
                            <w:r w:rsidRPr="00FD4A42">
                              <w:rPr>
                                <w:rFonts w:ascii="Arial" w:hAnsi="Arial" w:cs="Arial"/>
                                <w:sz w:val="16"/>
                                <w:szCs w:val="16"/>
                              </w:rPr>
                              <w:t>β</w:t>
                            </w:r>
                            <w:r>
                              <w:rPr>
                                <w:rFonts w:ascii="Arial" w:hAnsi="Arial" w:cs="Arial"/>
                                <w:sz w:val="16"/>
                                <w:szCs w:val="24"/>
                              </w:rPr>
                              <w:t>L</w:t>
                            </w:r>
                            <w:r w:rsidRPr="00827B57">
                              <w:rPr>
                                <w:rFonts w:ascii="Arial" w:hAnsi="Arial" w:cs="Arial"/>
                                <w:sz w:val="16"/>
                                <w:szCs w:val="24"/>
                              </w:rPr>
                              <w:t xml:space="preserve"> genes </w:t>
                            </w:r>
                            <w:r>
                              <w:rPr>
                                <w:rFonts w:ascii="Arial" w:hAnsi="Arial" w:cs="Arial"/>
                                <w:sz w:val="16"/>
                                <w:szCs w:val="24"/>
                              </w:rPr>
                              <w:t>and</w:t>
                            </w:r>
                            <w:r w:rsidRPr="00827B57">
                              <w:rPr>
                                <w:rFonts w:ascii="Arial" w:hAnsi="Arial" w:cs="Arial"/>
                                <w:sz w:val="16"/>
                                <w:szCs w:val="24"/>
                              </w:rPr>
                              <w:t xml:space="preserve"> </w:t>
                            </w:r>
                            <w:proofErr w:type="spellStart"/>
                            <w:r w:rsidRPr="00827B57">
                              <w:rPr>
                                <w:rFonts w:ascii="Arial" w:hAnsi="Arial" w:cs="Arial"/>
                                <w:i/>
                                <w:sz w:val="16"/>
                                <w:szCs w:val="24"/>
                              </w:rPr>
                              <w:t>mecA</w:t>
                            </w:r>
                            <w:proofErr w:type="spellEnd"/>
                            <w:r w:rsidRPr="00827B57">
                              <w:rPr>
                                <w:rFonts w:ascii="Arial" w:hAnsi="Arial" w:cs="Arial"/>
                                <w:sz w:val="16"/>
                                <w:szCs w:val="24"/>
                              </w:rPr>
                              <w:t xml:space="preserve"> genes </w:t>
                            </w:r>
                            <w:r>
                              <w:rPr>
                                <w:rFonts w:ascii="Arial" w:hAnsi="Arial" w:cs="Arial"/>
                                <w:sz w:val="16"/>
                                <w:szCs w:val="24"/>
                              </w:rPr>
                              <w:t xml:space="preserve">(the latter responsible for methicillin resistance in </w:t>
                            </w:r>
                            <w:r w:rsidRPr="0084786B">
                              <w:rPr>
                                <w:rFonts w:ascii="Arial" w:hAnsi="Arial" w:cs="Arial"/>
                                <w:i/>
                                <w:sz w:val="16"/>
                                <w:szCs w:val="24"/>
                              </w:rPr>
                              <w:t>Staphylococcus aureus</w:t>
                            </w:r>
                            <w:r>
                              <w:rPr>
                                <w:rFonts w:ascii="Arial" w:hAnsi="Arial" w:cs="Arial"/>
                                <w:sz w:val="16"/>
                                <w:szCs w:val="24"/>
                              </w:rPr>
                              <w:t xml:space="preserve">) </w:t>
                            </w:r>
                            <w:r w:rsidRPr="00827B57">
                              <w:rPr>
                                <w:rFonts w:ascii="Arial" w:hAnsi="Arial" w:cs="Arial"/>
                                <w:sz w:val="16"/>
                                <w:szCs w:val="24"/>
                              </w:rPr>
                              <w:t xml:space="preserve">have been found in bacteriophage extracted from faecal samples </w:t>
                            </w:r>
                            <w:r>
                              <w:rPr>
                                <w:rFonts w:ascii="Arial" w:hAnsi="Arial" w:cs="Arial"/>
                                <w:sz w:val="16"/>
                                <w:szCs w:val="24"/>
                              </w:rPr>
                              <w:t>at</w:t>
                            </w:r>
                            <w:r w:rsidRPr="00827B57">
                              <w:rPr>
                                <w:rFonts w:ascii="Arial" w:hAnsi="Arial" w:cs="Arial"/>
                                <w:sz w:val="16"/>
                                <w:szCs w:val="24"/>
                              </w:rPr>
                              <w:t xml:space="preserve"> farms and abattoirs in Spain.</w:t>
                            </w:r>
                            <w:r w:rsidRPr="00827B57">
                              <w:rPr>
                                <w:rFonts w:ascii="Arial" w:hAnsi="Arial" w:cs="Arial"/>
                                <w:sz w:val="16"/>
                                <w:szCs w:val="24"/>
                              </w:rPr>
                              <w:fldChar w:fldCharType="begin" w:fldLock="1"/>
                            </w:r>
                            <w:r w:rsidR="009E0BAE">
                              <w:rPr>
                                <w:rFonts w:ascii="Arial" w:hAnsi="Arial" w:cs="Arial"/>
                                <w:sz w:val="16"/>
                                <w:szCs w:val="24"/>
                              </w:rPr>
                              <w:instrText>ADDIN CSL_CITATION { "citationItems" : [ { "id" : "ITEM-1", "itemData" : { "DOI" : "10.1128/AAC.00535-11", "ISSN" : "1098-6596", "PMID" : "21807968", "abstract" : "This study evaluates the occurrence of bacteriophages carrying antibiotic resistance genes in animal environments. bla(TEM), bla(CTX-M) (clusters 1 and 9), and mecA were quantified by quantitative PCR in 71 phage DNA samples from pigs, poultry, and cattle fecal wastes. Densities of 3 to 4 log(10) gene copies (GC) of bla(TEM), 2 to 3 log(10) GC of bla(CTX-M), and 1 to 3 log(10) GC of mecA per milliliter or gram of sample were detected, suggesting that bacteriophages can be environmental vectors for the horizontal transfer of antibiotic resistance genes.", "author" : [ { "dropping-particle" : "", "family" : "Colomer-Lluch", "given" : "Marta", "non-dropping-particle" : "", "parse-names" : false, "suffix" : "" }, { "dropping-particle" : "", "family" : "Imamovic", "given" : "Lejla", "non-dropping-particle" : "", "parse-names" : false, "suffix" : "" }, { "dropping-particle" : "", "family" : "Jofre", "given" : "Juan", "non-dropping-particle" : "", "parse-names" : false, "suffix" : "" }, { "dropping-particle" : "", "family" : "Muniesa", "given" : "Maite", "non-dropping-particle" : "", "parse-names" : false, "suffix" : "" } ], "container-title" : "Antimicrobial Agents and Chemotherapy", "id" : "ITEM-1", "issue" : "10", "issued" : { "date-parts" : [ [ "2011", "10" ] ] }, "page" : "4908-11", "title" : "Bacteriophages carrying antibiotic resistance genes in fecal waste from cattle, pigs, and poultry.", "type" : "article-journal", "volume" : "55" }, "uris" : [ "http://www.mendeley.com/documents/?uuid=a18bd04e-3683-4fc7-925a-9fb0bedae275" ] } ], "mendeley" : { "formattedCitation" : "&lt;sup&gt;37&lt;/sup&gt;", "plainTextFormattedCitation" : "37", "previouslyFormattedCitation" : "&lt;sup&gt;38&lt;/sup&gt;" }, "properties" : { "noteIndex" : 0 }, "schema" : "https://github.com/citation-style-language/schema/raw/master/csl-citation.json" }</w:instrText>
                            </w:r>
                            <w:r w:rsidRPr="00827B57">
                              <w:rPr>
                                <w:rFonts w:ascii="Arial" w:hAnsi="Arial" w:cs="Arial"/>
                                <w:sz w:val="16"/>
                                <w:szCs w:val="24"/>
                              </w:rPr>
                              <w:fldChar w:fldCharType="separate"/>
                            </w:r>
                            <w:r w:rsidR="009E0BAE" w:rsidRPr="009E0BAE">
                              <w:rPr>
                                <w:rFonts w:ascii="Arial" w:hAnsi="Arial" w:cs="Arial"/>
                                <w:noProof/>
                                <w:sz w:val="16"/>
                                <w:szCs w:val="24"/>
                                <w:vertAlign w:val="superscript"/>
                              </w:rPr>
                              <w:t>37</w:t>
                            </w:r>
                            <w:r w:rsidRPr="00827B57">
                              <w:rPr>
                                <w:rFonts w:ascii="Arial" w:hAnsi="Arial" w:cs="Arial"/>
                                <w:sz w:val="16"/>
                                <w:szCs w:val="24"/>
                              </w:rPr>
                              <w:fldChar w:fldCharType="end"/>
                            </w:r>
                          </w:p>
                          <w:p w14:paraId="4DCF5CA2" w14:textId="77777777" w:rsidR="008F211C" w:rsidRDefault="008F211C" w:rsidP="00A05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10.2pt;margin-top:75.9pt;width:105.3pt;height:24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" fillcolor="#92d050" strokecolor="white [3212]" strokeweight=".5pt">
                <v:textbox>
                  <w:txbxContent>
                    <w:p w14:paraId="3829E63C" w14:textId="713BDFAB" w:rsidR="008F211C" w:rsidRPr="00595D3A" w:rsidRDefault="008F211C" w:rsidP="00A053CE">
                      <w:pPr>
                        <w:rPr>
                          <w:rFonts w:ascii="Arial" w:hAnsi="Arial" w:cs="Arial"/>
                          <w:b/>
                          <w:sz w:val="16"/>
                          <w:szCs w:val="24"/>
                          <w:u w:val="single"/>
                        </w:rPr>
                      </w:pPr>
                      <w:r w:rsidRPr="00595D3A">
                        <w:rPr>
                          <w:rFonts w:ascii="Arial" w:hAnsi="Arial" w:cs="Arial"/>
                          <w:b/>
                          <w:sz w:val="16"/>
                          <w:szCs w:val="24"/>
                          <w:u w:val="single"/>
                        </w:rPr>
                        <w:t xml:space="preserve">Clinical </w:t>
                      </w:r>
                      <w:r>
                        <w:rPr>
                          <w:rFonts w:ascii="Arial" w:hAnsi="Arial" w:cs="Arial"/>
                          <w:b/>
                          <w:sz w:val="16"/>
                          <w:szCs w:val="24"/>
                          <w:u w:val="single"/>
                        </w:rPr>
                        <w:t>examples</w:t>
                      </w:r>
                      <w:r w:rsidRPr="00595D3A">
                        <w:rPr>
                          <w:rFonts w:ascii="Arial" w:hAnsi="Arial" w:cs="Arial"/>
                          <w:b/>
                          <w:sz w:val="16"/>
                          <w:szCs w:val="24"/>
                          <w:u w:val="single"/>
                        </w:rPr>
                        <w:t>:</w:t>
                      </w:r>
                    </w:p>
                    <w:p w14:paraId="3A724BB6" w14:textId="42A75E03" w:rsidR="008F211C" w:rsidRPr="00827B57" w:rsidRDefault="008F211C" w:rsidP="00A053CE">
                      <w:pPr>
                        <w:rPr>
                          <w:rFonts w:ascii="Arial" w:hAnsi="Arial" w:cs="Arial"/>
                          <w:sz w:val="16"/>
                          <w:szCs w:val="24"/>
                        </w:rPr>
                      </w:pPr>
                      <w:r>
                        <w:rPr>
                          <w:rFonts w:ascii="Arial" w:hAnsi="Arial" w:cs="Arial"/>
                          <w:sz w:val="16"/>
                          <w:szCs w:val="24"/>
                        </w:rPr>
                        <w:t>Transduction</w:t>
                      </w:r>
                      <w:r w:rsidRPr="00827B57">
                        <w:rPr>
                          <w:rFonts w:ascii="Arial" w:hAnsi="Arial" w:cs="Arial"/>
                          <w:sz w:val="16"/>
                          <w:szCs w:val="24"/>
                        </w:rPr>
                        <w:t xml:space="preserve"> is common in staphylococci</w:t>
                      </w:r>
                      <w:r>
                        <w:rPr>
                          <w:rFonts w:ascii="Arial" w:hAnsi="Arial" w:cs="Arial"/>
                          <w:sz w:val="16"/>
                          <w:szCs w:val="24"/>
                        </w:rPr>
                        <w:t>,</w:t>
                      </w:r>
                      <w:r w:rsidRPr="00827B57">
                        <w:rPr>
                          <w:rFonts w:ascii="Arial" w:hAnsi="Arial" w:cs="Arial"/>
                          <w:sz w:val="16"/>
                          <w:szCs w:val="24"/>
                        </w:rPr>
                        <w:t xml:space="preserve"> </w:t>
                      </w:r>
                      <w:r>
                        <w:rPr>
                          <w:rFonts w:ascii="Arial" w:hAnsi="Arial" w:cs="Arial"/>
                          <w:sz w:val="16"/>
                          <w:szCs w:val="24"/>
                        </w:rPr>
                        <w:t>but beyond this specific example, b</w:t>
                      </w:r>
                      <w:r w:rsidRPr="00827B57">
                        <w:rPr>
                          <w:rFonts w:ascii="Arial" w:hAnsi="Arial" w:cs="Arial"/>
                          <w:sz w:val="16"/>
                          <w:szCs w:val="24"/>
                        </w:rPr>
                        <w:t>acteriophages are common, and it has been proposed that the</w:t>
                      </w:r>
                      <w:r>
                        <w:rPr>
                          <w:rFonts w:ascii="Arial" w:hAnsi="Arial" w:cs="Arial"/>
                          <w:sz w:val="16"/>
                          <w:szCs w:val="24"/>
                        </w:rPr>
                        <w:t>y represent</w:t>
                      </w:r>
                      <w:r w:rsidRPr="00827B57">
                        <w:rPr>
                          <w:rFonts w:ascii="Arial" w:hAnsi="Arial" w:cs="Arial"/>
                          <w:sz w:val="16"/>
                          <w:szCs w:val="24"/>
                        </w:rPr>
                        <w:t xml:space="preserve"> a reservoir of </w:t>
                      </w:r>
                      <w:r>
                        <w:rPr>
                          <w:rFonts w:ascii="Arial" w:hAnsi="Arial" w:cs="Arial"/>
                          <w:sz w:val="16"/>
                          <w:szCs w:val="24"/>
                        </w:rPr>
                        <w:t>AMR</w:t>
                      </w:r>
                      <w:r w:rsidRPr="00827B57">
                        <w:rPr>
                          <w:rFonts w:ascii="Arial" w:hAnsi="Arial" w:cs="Arial"/>
                          <w:sz w:val="16"/>
                          <w:szCs w:val="24"/>
                        </w:rPr>
                        <w:t xml:space="preserve"> genes. For instance, </w:t>
                      </w:r>
                      <w:r>
                        <w:rPr>
                          <w:rFonts w:ascii="Arial" w:hAnsi="Arial" w:cs="Arial"/>
                          <w:sz w:val="16"/>
                          <w:szCs w:val="24"/>
                        </w:rPr>
                        <w:t xml:space="preserve">such AMR genetic material </w:t>
                      </w:r>
                      <w:r w:rsidRPr="00827B57">
                        <w:rPr>
                          <w:rFonts w:ascii="Arial" w:hAnsi="Arial" w:cs="Arial"/>
                          <w:sz w:val="16"/>
                          <w:szCs w:val="24"/>
                        </w:rPr>
                        <w:t>ha</w:t>
                      </w:r>
                      <w:r>
                        <w:rPr>
                          <w:rFonts w:ascii="Arial" w:hAnsi="Arial" w:cs="Arial"/>
                          <w:sz w:val="16"/>
                          <w:szCs w:val="24"/>
                        </w:rPr>
                        <w:t>s</w:t>
                      </w:r>
                      <w:r w:rsidRPr="00827B57">
                        <w:rPr>
                          <w:rFonts w:ascii="Arial" w:hAnsi="Arial" w:cs="Arial"/>
                          <w:sz w:val="16"/>
                          <w:szCs w:val="24"/>
                        </w:rPr>
                        <w:t xml:space="preserve"> been identified in phage DNA isolated from activated sludge from wastewater treatment,</w:t>
                      </w:r>
                      <w:r w:rsidRPr="00827B57">
                        <w:rPr>
                          <w:rFonts w:ascii="Arial" w:hAnsi="Arial" w:cs="Arial"/>
                          <w:sz w:val="16"/>
                          <w:szCs w:val="24"/>
                        </w:rPr>
                        <w:fldChar w:fldCharType="begin" w:fldLock="1"/>
                      </w:r>
                      <w:r w:rsidR="009E0BAE">
                        <w:rPr>
                          <w:rFonts w:ascii="Arial" w:hAnsi="Arial" w:cs="Arial"/>
                          <w:sz w:val="16"/>
                          <w:szCs w:val="24"/>
                        </w:rPr>
                        <w:instrText>ADDIN CSL_CITATION { "citationItems" : [ { "id" : "ITEM-1", "itemData" : { "DOI" : "10.1128/AEM.03080-09", "ISSN" : "1098-5336", "PMID" : "20382816", "abstract" : "Using both sequence- and function-based metagenomic approaches, multiple antibiotic resistance determinants were identified within metagenomic libraries constructed from DNA extracted from bacterial chromosomes, plasmids, or viruses within an activated sludge microbial assemblage. Metagenomic clones and a plasmid that in Escherichia coli expressed resistance to chloramphenicol, ampicillin, or kanamycin were isolated, with many cloned DNA sequences lacking any significant homology to known antibiotic resistance determinants.", "author" : [ { "dropping-particle" : "", "family" : "Parsley", "given" : "Larissa C", "non-dropping-particle" : "", "parse-names" : false, "suffix" : "" }, { "dropping-particle" : "", "family" : "Consuegra", "given" : "Erin J", "non-dropping-particle" : "", "parse-names" : false, "suffix" : "" }, { "dropping-particle" : "", "family" : "Kakirde", "given" : "Kavita S", "non-dropping-particle" : "", "parse-names" : false, "suffix" : "" }, { "dropping-particle" : "", "family" : "Land", "given" : "Andrew M", "non-dropping-particle" : "", "parse-names" : false, "suffix" : "" }, { "dropping-particle" : "", "family" : "Harper", "given" : "Willie F", "non-dropping-particle" : "", "parse-names" : false, "suffix" : "" }, { "dropping-particle" : "", "family" : "Liles", "given" : "Mark R", "non-dropping-particle" : "", "parse-names" : false, "suffix" : "" } ], "container-title" : "Applied and Environmental Microbiology", "id" : "ITEM-1", "issue" : "11", "issued" : { "date-parts" : [ [ "2010", "6" ] ] }, "page" : "3753-7", "title" : "Identification of diverse antimicrobial resistance determinants carried on bacterial, plasmid, or viral metagenomes from an activated sludge microbial assemblage.", "type" : "article-journal", "volume" : "76" }, "uris" : [ "http://www.mendeley.com/documents/?uuid=fa49b4fb-7bc5-4569-a076-c90e78f2b62b" ] } ], "mendeley" : { "formattedCitation" : "&lt;sup&gt;36&lt;/sup&gt;", "plainTextFormattedCitation" : "36", "previouslyFormattedCitation" : "&lt;sup&gt;37&lt;/sup&gt;" }, "properties" : { "noteIndex" : 0 }, "schema" : "https://github.com/citation-style-language/schema/raw/master/csl-citation.json" }</w:instrText>
                      </w:r>
                      <w:r w:rsidRPr="00827B57">
                        <w:rPr>
                          <w:rFonts w:ascii="Arial" w:hAnsi="Arial" w:cs="Arial"/>
                          <w:sz w:val="16"/>
                          <w:szCs w:val="24"/>
                        </w:rPr>
                        <w:fldChar w:fldCharType="separate"/>
                      </w:r>
                      <w:r w:rsidR="009E0BAE" w:rsidRPr="009E0BAE">
                        <w:rPr>
                          <w:rFonts w:ascii="Arial" w:hAnsi="Arial" w:cs="Arial"/>
                          <w:noProof/>
                          <w:sz w:val="16"/>
                          <w:szCs w:val="24"/>
                          <w:vertAlign w:val="superscript"/>
                        </w:rPr>
                        <w:t>36</w:t>
                      </w:r>
                      <w:r w:rsidRPr="00827B57">
                        <w:rPr>
                          <w:rFonts w:ascii="Arial" w:hAnsi="Arial" w:cs="Arial"/>
                          <w:sz w:val="16"/>
                          <w:szCs w:val="24"/>
                        </w:rPr>
                        <w:fldChar w:fldCharType="end"/>
                      </w:r>
                      <w:r w:rsidRPr="00827B57">
                        <w:rPr>
                          <w:rFonts w:ascii="Arial" w:hAnsi="Arial" w:cs="Arial"/>
                          <w:sz w:val="16"/>
                          <w:szCs w:val="24"/>
                        </w:rPr>
                        <w:t xml:space="preserve"> and </w:t>
                      </w:r>
                      <w:r>
                        <w:rPr>
                          <w:rFonts w:ascii="Arial" w:hAnsi="Arial" w:cs="Arial"/>
                          <w:sz w:val="16"/>
                          <w:szCs w:val="24"/>
                        </w:rPr>
                        <w:t>specifically ES</w:t>
                      </w:r>
                      <w:r w:rsidRPr="00FD4A42">
                        <w:rPr>
                          <w:rFonts w:ascii="Arial" w:hAnsi="Arial" w:cs="Arial"/>
                          <w:sz w:val="16"/>
                          <w:szCs w:val="16"/>
                        </w:rPr>
                        <w:t>β</w:t>
                      </w:r>
                      <w:r>
                        <w:rPr>
                          <w:rFonts w:ascii="Arial" w:hAnsi="Arial" w:cs="Arial"/>
                          <w:sz w:val="16"/>
                          <w:szCs w:val="24"/>
                        </w:rPr>
                        <w:t>L</w:t>
                      </w:r>
                      <w:r w:rsidRPr="00827B57">
                        <w:rPr>
                          <w:rFonts w:ascii="Arial" w:hAnsi="Arial" w:cs="Arial"/>
                          <w:sz w:val="16"/>
                          <w:szCs w:val="24"/>
                        </w:rPr>
                        <w:t xml:space="preserve"> genes </w:t>
                      </w:r>
                      <w:r>
                        <w:rPr>
                          <w:rFonts w:ascii="Arial" w:hAnsi="Arial" w:cs="Arial"/>
                          <w:sz w:val="16"/>
                          <w:szCs w:val="24"/>
                        </w:rPr>
                        <w:t>and</w:t>
                      </w:r>
                      <w:r w:rsidRPr="00827B57">
                        <w:rPr>
                          <w:rFonts w:ascii="Arial" w:hAnsi="Arial" w:cs="Arial"/>
                          <w:sz w:val="16"/>
                          <w:szCs w:val="24"/>
                        </w:rPr>
                        <w:t xml:space="preserve"> </w:t>
                      </w:r>
                      <w:proofErr w:type="spellStart"/>
                      <w:r w:rsidRPr="00827B57">
                        <w:rPr>
                          <w:rFonts w:ascii="Arial" w:hAnsi="Arial" w:cs="Arial"/>
                          <w:i/>
                          <w:sz w:val="16"/>
                          <w:szCs w:val="24"/>
                        </w:rPr>
                        <w:t>mecA</w:t>
                      </w:r>
                      <w:proofErr w:type="spellEnd"/>
                      <w:r w:rsidRPr="00827B57">
                        <w:rPr>
                          <w:rFonts w:ascii="Arial" w:hAnsi="Arial" w:cs="Arial"/>
                          <w:sz w:val="16"/>
                          <w:szCs w:val="24"/>
                        </w:rPr>
                        <w:t xml:space="preserve"> genes </w:t>
                      </w:r>
                      <w:r>
                        <w:rPr>
                          <w:rFonts w:ascii="Arial" w:hAnsi="Arial" w:cs="Arial"/>
                          <w:sz w:val="16"/>
                          <w:szCs w:val="24"/>
                        </w:rPr>
                        <w:t xml:space="preserve">(the latter responsible for methicillin resistance in </w:t>
                      </w:r>
                      <w:r w:rsidRPr="0084786B">
                        <w:rPr>
                          <w:rFonts w:ascii="Arial" w:hAnsi="Arial" w:cs="Arial"/>
                          <w:i/>
                          <w:sz w:val="16"/>
                          <w:szCs w:val="24"/>
                        </w:rPr>
                        <w:t>Staphylococcus aureus</w:t>
                      </w:r>
                      <w:r>
                        <w:rPr>
                          <w:rFonts w:ascii="Arial" w:hAnsi="Arial" w:cs="Arial"/>
                          <w:sz w:val="16"/>
                          <w:szCs w:val="24"/>
                        </w:rPr>
                        <w:t xml:space="preserve">) </w:t>
                      </w:r>
                      <w:r w:rsidRPr="00827B57">
                        <w:rPr>
                          <w:rFonts w:ascii="Arial" w:hAnsi="Arial" w:cs="Arial"/>
                          <w:sz w:val="16"/>
                          <w:szCs w:val="24"/>
                        </w:rPr>
                        <w:t xml:space="preserve">have been found in bacteriophage extracted from faecal samples </w:t>
                      </w:r>
                      <w:r>
                        <w:rPr>
                          <w:rFonts w:ascii="Arial" w:hAnsi="Arial" w:cs="Arial"/>
                          <w:sz w:val="16"/>
                          <w:szCs w:val="24"/>
                        </w:rPr>
                        <w:t>at</w:t>
                      </w:r>
                      <w:r w:rsidRPr="00827B57">
                        <w:rPr>
                          <w:rFonts w:ascii="Arial" w:hAnsi="Arial" w:cs="Arial"/>
                          <w:sz w:val="16"/>
                          <w:szCs w:val="24"/>
                        </w:rPr>
                        <w:t xml:space="preserve"> farms and abattoirs in Spain.</w:t>
                      </w:r>
                      <w:r w:rsidRPr="00827B57">
                        <w:rPr>
                          <w:rFonts w:ascii="Arial" w:hAnsi="Arial" w:cs="Arial"/>
                          <w:sz w:val="16"/>
                          <w:szCs w:val="24"/>
                        </w:rPr>
                        <w:fldChar w:fldCharType="begin" w:fldLock="1"/>
                      </w:r>
                      <w:r w:rsidR="009E0BAE">
                        <w:rPr>
                          <w:rFonts w:ascii="Arial" w:hAnsi="Arial" w:cs="Arial"/>
                          <w:sz w:val="16"/>
                          <w:szCs w:val="24"/>
                        </w:rPr>
                        <w:instrText>ADDIN CSL_CITATION { "citationItems" : [ { "id" : "ITEM-1", "itemData" : { "DOI" : "10.1128/AAC.00535-11", "ISSN" : "1098-6596", "PMID" : "21807968", "abstract" : "This study evaluates the occurrence of bacteriophages carrying antibiotic resistance genes in animal environments. bla(TEM), bla(CTX-M) (clusters 1 and 9), and mecA were quantified by quantitative PCR in 71 phage DNA samples from pigs, poultry, and cattle fecal wastes. Densities of 3 to 4 log(10) gene copies (GC) of bla(TEM), 2 to 3 log(10) GC of bla(CTX-M), and 1 to 3 log(10) GC of mecA per milliliter or gram of sample were detected, suggesting that bacteriophages can be environmental vectors for the horizontal transfer of antibiotic resistance genes.", "author" : [ { "dropping-particle" : "", "family" : "Colomer-Lluch", "given" : "Marta", "non-dropping-particle" : "", "parse-names" : false, "suffix" : "" }, { "dropping-particle" : "", "family" : "Imamovic", "given" : "Lejla", "non-dropping-particle" : "", "parse-names" : false, "suffix" : "" }, { "dropping-particle" : "", "family" : "Jofre", "given" : "Juan", "non-dropping-particle" : "", "parse-names" : false, "suffix" : "" }, { "dropping-particle" : "", "family" : "Muniesa", "given" : "Maite", "non-dropping-particle" : "", "parse-names" : false, "suffix" : "" } ], "container-title" : "Antimicrobial Agents and Chemotherapy", "id" : "ITEM-1", "issue" : "10", "issued" : { "date-parts" : [ [ "2011", "10" ] ] }, "page" : "4908-11", "title" : "Bacteriophages carrying antibiotic resistance genes in fecal waste from cattle, pigs, and poultry.", "type" : "article-journal", "volume" : "55" }, "uris" : [ "http://www.mendeley.com/documents/?uuid=a18bd04e-3683-4fc7-925a-9fb0bedae275" ] } ], "mendeley" : { "formattedCitation" : "&lt;sup&gt;37&lt;/sup&gt;", "plainTextFormattedCitation" : "37", "previouslyFormattedCitation" : "&lt;sup&gt;38&lt;/sup&gt;" }, "properties" : { "noteIndex" : 0 }, "schema" : "https://github.com/citation-style-language/schema/raw/master/csl-citation.json" }</w:instrText>
                      </w:r>
                      <w:r w:rsidRPr="00827B57">
                        <w:rPr>
                          <w:rFonts w:ascii="Arial" w:hAnsi="Arial" w:cs="Arial"/>
                          <w:sz w:val="16"/>
                          <w:szCs w:val="24"/>
                        </w:rPr>
                        <w:fldChar w:fldCharType="separate"/>
                      </w:r>
                      <w:r w:rsidR="009E0BAE" w:rsidRPr="009E0BAE">
                        <w:rPr>
                          <w:rFonts w:ascii="Arial" w:hAnsi="Arial" w:cs="Arial"/>
                          <w:noProof/>
                          <w:sz w:val="16"/>
                          <w:szCs w:val="24"/>
                          <w:vertAlign w:val="superscript"/>
                        </w:rPr>
                        <w:t>37</w:t>
                      </w:r>
                      <w:r w:rsidRPr="00827B57">
                        <w:rPr>
                          <w:rFonts w:ascii="Arial" w:hAnsi="Arial" w:cs="Arial"/>
                          <w:sz w:val="16"/>
                          <w:szCs w:val="24"/>
                        </w:rPr>
                        <w:fldChar w:fldCharType="end"/>
                      </w:r>
                    </w:p>
                    <w:p w14:paraId="4DCF5CA2" w14:textId="77777777" w:rsidR="008F211C" w:rsidRDefault="008F211C" w:rsidP="00A053CE"/>
                  </w:txbxContent>
                </v:textbox>
              </v:shape>
            </w:pict>
          </mc:Fallback>
        </mc:AlternateContent>
      </w:r>
      <w:r w:rsidR="001F132B" w:rsidRPr="000767AE">
        <w:rPr>
          <w:rFonts w:ascii="Arial" w:hAnsi="Arial" w:cs="Arial"/>
          <w:noProof/>
          <w:lang w:eastAsia="en-GB"/>
        </w:rPr>
        <mc:AlternateContent>
          <mc:Choice Requires="wps">
            <w:drawing>
              <wp:anchor distT="0" distB="0" distL="114300" distR="114300" simplePos="0" relativeHeight="251673599" behindDoc="0" locked="0" layoutInCell="1" allowOverlap="1" wp14:anchorId="74750DBC" wp14:editId="0F5A8B86">
                <wp:simplePos x="0" y="0"/>
                <wp:positionH relativeFrom="column">
                  <wp:posOffset>438149</wp:posOffset>
                </wp:positionH>
                <wp:positionV relativeFrom="paragraph">
                  <wp:posOffset>356235</wp:posOffset>
                </wp:positionV>
                <wp:extent cx="8334375" cy="4601210"/>
                <wp:effectExtent l="0" t="0" r="28575" b="27940"/>
                <wp:wrapNone/>
                <wp:docPr id="295" name="Rectangle 295"/>
                <wp:cNvGraphicFramePr/>
                <a:graphic xmlns:a="http://schemas.openxmlformats.org/drawingml/2006/main">
                  <a:graphicData uri="http://schemas.microsoft.com/office/word/2010/wordprocessingShape">
                    <wps:wsp>
                      <wps:cNvSpPr/>
                      <wps:spPr>
                        <a:xfrm>
                          <a:off x="0" y="0"/>
                          <a:ext cx="8334375" cy="46012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34.5pt;margin-top:28.05pt;width:656.25pt;height:362.3pt;z-index:251673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" fillcolor="white [3212]" strokecolor="white [3212]" strokeweight="2pt"/>
            </w:pict>
          </mc:Fallback>
        </mc:AlternateContent>
      </w:r>
      <w:r w:rsidR="00984997" w:rsidRPr="000767AE">
        <w:rPr>
          <w:rFonts w:ascii="Arial" w:hAnsi="Arial" w:cs="Arial"/>
          <w:noProof/>
          <w:lang w:eastAsia="en-GB"/>
        </w:rPr>
        <w:drawing>
          <wp:inline distT="0" distB="0" distL="0" distR="0" wp14:anchorId="37B6B8AD" wp14:editId="6A95B712">
            <wp:extent cx="8897273" cy="510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04801" cy="5109719"/>
                    </a:xfrm>
                    <a:prstGeom prst="rect">
                      <a:avLst/>
                    </a:prstGeom>
                    <a:noFill/>
                    <a:ln>
                      <a:noFill/>
                    </a:ln>
                  </pic:spPr>
                </pic:pic>
              </a:graphicData>
            </a:graphic>
          </wp:inline>
        </w:drawing>
      </w:r>
    </w:p>
    <w:p w14:paraId="6EA6FA3B" w14:textId="7BF5F5F8" w:rsidR="00E66298" w:rsidRPr="00C8340F" w:rsidRDefault="00984997" w:rsidP="00A053CE">
      <w:pPr>
        <w:divId w:val="1073503928"/>
        <w:rPr>
          <w:rFonts w:ascii="Arial" w:hAnsi="Arial" w:cs="Arial"/>
        </w:rPr>
      </w:pPr>
      <w:r w:rsidRPr="00C8340F">
        <w:rPr>
          <w:rFonts w:ascii="Arial" w:hAnsi="Arial" w:cs="Arial"/>
          <w:b/>
        </w:rPr>
        <w:t>Legend:</w:t>
      </w:r>
      <w:r w:rsidRPr="00C8340F">
        <w:rPr>
          <w:rFonts w:ascii="Arial" w:hAnsi="Arial" w:cs="Arial"/>
        </w:rPr>
        <w:t xml:space="preserve"> Genetic material is transferred between micro-organisms through three main routes: transformation, transduction and conjugation. Within this exchanged genetic material can lie resistance mechanisms, and selective pressure can drive resistance potentiation. ESBL=Extended spectrum β-lactamase; DNA=deoxyribonucleic acid. </w:t>
      </w:r>
      <w:r w:rsidR="009261D2" w:rsidRPr="00C8340F">
        <w:rPr>
          <w:rFonts w:ascii="Arial" w:hAnsi="Arial" w:cs="Arial"/>
          <w:i/>
        </w:rPr>
        <w:t>Draft g</w:t>
      </w:r>
      <w:r w:rsidRPr="00C8340F">
        <w:rPr>
          <w:rFonts w:ascii="Arial" w:hAnsi="Arial" w:cs="Arial"/>
          <w:i/>
        </w:rPr>
        <w:t>raphic courtesy of Adrian Roots, Elsevier, 2014</w:t>
      </w:r>
      <w:r w:rsidRPr="00C8340F">
        <w:rPr>
          <w:rFonts w:ascii="Arial" w:hAnsi="Arial" w:cs="Arial"/>
        </w:rPr>
        <w:t>.</w:t>
      </w:r>
    </w:p>
    <w:p w14:paraId="16DA8D77" w14:textId="77777777" w:rsidR="00E66298" w:rsidRPr="000767AE" w:rsidRDefault="00E66298" w:rsidP="00A053CE">
      <w:pPr>
        <w:divId w:val="1073503928"/>
        <w:rPr>
          <w:rFonts w:ascii="Arial" w:hAnsi="Arial" w:cs="Arial"/>
          <w:sz w:val="24"/>
          <w:szCs w:val="24"/>
        </w:rPr>
        <w:sectPr w:rsidR="00E66298" w:rsidRPr="000767AE" w:rsidSect="00984997">
          <w:pgSz w:w="16838" w:h="11906" w:orient="landscape" w:code="9"/>
          <w:pgMar w:top="851" w:right="1440" w:bottom="709" w:left="1440" w:header="709" w:footer="709" w:gutter="0"/>
          <w:lnNumType w:countBy="1" w:restart="continuous"/>
          <w:cols w:space="708"/>
          <w:docGrid w:linePitch="360"/>
        </w:sectPr>
      </w:pPr>
    </w:p>
    <w:p w14:paraId="1DAE91A4" w14:textId="502E5A14" w:rsidR="001A303C" w:rsidRPr="000767AE" w:rsidRDefault="000E00F2" w:rsidP="001A303C">
      <w:pPr>
        <w:rPr>
          <w:rFonts w:ascii="Arial" w:hAnsi="Arial" w:cs="Arial"/>
          <w:b/>
          <w:noProof/>
          <w:color w:val="000000" w:themeColor="text1"/>
          <w:lang w:eastAsia="en-GB"/>
        </w:rPr>
      </w:pPr>
      <w:r w:rsidRPr="000767AE">
        <w:rPr>
          <w:rFonts w:ascii="Arial" w:hAnsi="Arial" w:cs="Arial"/>
          <w:b/>
          <w:noProof/>
          <w:color w:val="000000" w:themeColor="text1"/>
          <w:lang w:eastAsia="en-GB"/>
        </w:rPr>
        <w:lastRenderedPageBreak/>
        <w:t xml:space="preserve">Figure </w:t>
      </w:r>
      <w:r w:rsidR="001A303C" w:rsidRPr="000767AE">
        <w:rPr>
          <w:rFonts w:ascii="Arial" w:hAnsi="Arial" w:cs="Arial"/>
          <w:b/>
          <w:noProof/>
          <w:color w:val="000000" w:themeColor="text1"/>
          <w:lang w:eastAsia="en-GB"/>
        </w:rPr>
        <w:t>2.</w:t>
      </w:r>
    </w:p>
    <w:p w14:paraId="0DB08596" w14:textId="4D15F181" w:rsidR="000E00F2" w:rsidRPr="000767AE" w:rsidRDefault="000E00F2" w:rsidP="001A303C">
      <w:pPr>
        <w:rPr>
          <w:rFonts w:ascii="Arial" w:hAnsi="Arial" w:cs="Arial"/>
          <w:i/>
          <w:color w:val="FF0000"/>
          <w:sz w:val="16"/>
          <w:szCs w:val="24"/>
        </w:rPr>
      </w:pPr>
      <w:proofErr w:type="gramStart"/>
      <w:r w:rsidRPr="000767AE">
        <w:rPr>
          <w:rFonts w:ascii="Arial" w:hAnsi="Arial" w:cs="Arial"/>
          <w:b/>
          <w:noProof/>
          <w:color w:val="000000" w:themeColor="text1"/>
          <w:lang w:eastAsia="en-GB"/>
        </w:rPr>
        <w:t xml:space="preserve">Global travel routes and emergence of AMR </w:t>
      </w:r>
      <w:r w:rsidRPr="000767AE">
        <w:rPr>
          <w:rFonts w:ascii="Arial" w:hAnsi="Arial" w:cs="Arial"/>
          <w:i/>
          <w:color w:val="FF0000"/>
          <w:sz w:val="16"/>
          <w:szCs w:val="24"/>
        </w:rPr>
        <w:t>(NB.</w:t>
      </w:r>
      <w:proofErr w:type="gramEnd"/>
      <w:r w:rsidRPr="000767AE">
        <w:rPr>
          <w:rFonts w:ascii="Arial" w:hAnsi="Arial" w:cs="Arial"/>
          <w:i/>
          <w:color w:val="FF0000"/>
          <w:sz w:val="16"/>
          <w:szCs w:val="24"/>
        </w:rPr>
        <w:t xml:space="preserve"> Figure graphics to be further developed with Elsevier illustrator/designer)</w:t>
      </w:r>
    </w:p>
    <w:p w14:paraId="44FADB1D" w14:textId="77777777" w:rsidR="001A303C" w:rsidRPr="000767AE" w:rsidRDefault="001A303C" w:rsidP="001A303C">
      <w:pPr>
        <w:rPr>
          <w:rFonts w:ascii="Arial" w:hAnsi="Arial" w:cs="Arial"/>
          <w:b/>
          <w:noProof/>
          <w:color w:val="000000" w:themeColor="text1"/>
          <w:lang w:eastAsia="en-GB"/>
        </w:rPr>
      </w:pPr>
    </w:p>
    <w:p w14:paraId="48018AF5" w14:textId="77777777" w:rsidR="000E00F2" w:rsidRPr="000767AE" w:rsidRDefault="000E00F2" w:rsidP="000E00F2">
      <w:pPr>
        <w:spacing w:after="200" w:line="276" w:lineRule="auto"/>
        <w:rPr>
          <w:rFonts w:ascii="Arial" w:hAnsi="Arial" w:cs="Arial"/>
          <w:color w:val="595959" w:themeColor="text1" w:themeTint="A6"/>
        </w:rPr>
      </w:pPr>
      <w:r w:rsidRPr="000767AE">
        <w:rPr>
          <w:rFonts w:ascii="Arial" w:hAnsi="Arial" w:cs="Arial"/>
          <w:noProof/>
          <w:color w:val="595959" w:themeColor="text1" w:themeTint="A6"/>
          <w:lang w:eastAsia="en-GB"/>
        </w:rPr>
        <w:drawing>
          <wp:inline distT="0" distB="0" distL="0" distR="0" wp14:anchorId="7A81C048" wp14:editId="5EBA851D">
            <wp:extent cx="7981950" cy="5038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81950" cy="5038725"/>
                    </a:xfrm>
                    <a:prstGeom prst="rect">
                      <a:avLst/>
                    </a:prstGeom>
                    <a:noFill/>
                    <a:ln>
                      <a:noFill/>
                    </a:ln>
                  </pic:spPr>
                </pic:pic>
              </a:graphicData>
            </a:graphic>
          </wp:inline>
        </w:drawing>
      </w:r>
    </w:p>
    <w:p w14:paraId="33A6EEEB" w14:textId="01DD88D8" w:rsidR="000E00F2" w:rsidRPr="000767AE" w:rsidRDefault="000E00F2" w:rsidP="000E00F2">
      <w:pPr>
        <w:spacing w:after="200" w:line="276" w:lineRule="auto"/>
        <w:rPr>
          <w:rFonts w:ascii="Arial" w:hAnsi="Arial" w:cs="Arial"/>
          <w:b/>
          <w:sz w:val="24"/>
          <w:szCs w:val="24"/>
        </w:rPr>
      </w:pPr>
      <w:r w:rsidRPr="000767AE">
        <w:rPr>
          <w:rFonts w:ascii="Arial" w:hAnsi="Arial" w:cs="Arial"/>
          <w:b/>
          <w:noProof/>
          <w:lang w:eastAsia="en-GB"/>
        </w:rPr>
        <mc:AlternateContent>
          <mc:Choice Requires="wps">
            <w:drawing>
              <wp:anchor distT="0" distB="0" distL="114300" distR="114300" simplePos="0" relativeHeight="251726848" behindDoc="0" locked="0" layoutInCell="1" allowOverlap="1" wp14:anchorId="34918639" wp14:editId="4DD706A2">
                <wp:simplePos x="0" y="0"/>
                <wp:positionH relativeFrom="column">
                  <wp:posOffset>475615</wp:posOffset>
                </wp:positionH>
                <wp:positionV relativeFrom="paragraph">
                  <wp:posOffset>3629660</wp:posOffset>
                </wp:positionV>
                <wp:extent cx="466725" cy="1407160"/>
                <wp:effectExtent l="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7160"/>
                        </a:xfrm>
                        <a:prstGeom prst="rect">
                          <a:avLst/>
                        </a:prstGeom>
                        <a:noFill/>
                        <a:ln w="9525">
                          <a:noFill/>
                          <a:miter lim="800000"/>
                          <a:headEnd/>
                          <a:tailEnd/>
                        </a:ln>
                      </wps:spPr>
                      <wps:txbx>
                        <w:txbxContent>
                          <w:p w14:paraId="28207A0A" w14:textId="77777777" w:rsidR="008F211C" w:rsidRPr="002F25EE" w:rsidRDefault="008F211C" w:rsidP="000E00F2">
                            <w:pPr>
                              <w:rPr>
                                <w:color w:val="FFFFFF" w:themeColor="background1"/>
                                <w:sz w:val="180"/>
                                <w:szCs w:val="180"/>
                              </w:rPr>
                            </w:pPr>
                            <w:r w:rsidRPr="002F25EE">
                              <w:rPr>
                                <w:color w:val="FFFFFF" w:themeColor="background1"/>
                                <w:sz w:val="180"/>
                                <w:szCs w:val="18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45pt;margin-top:285.8pt;width:36.75pt;height:110.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" filled="f" stroked="f">
                <v:textbox>
                  <w:txbxContent>
                    <w:p w14:paraId="28207A0A" w14:textId="77777777" w:rsidR="008F211C" w:rsidRPr="002F25EE" w:rsidRDefault="008F211C" w:rsidP="000E00F2">
                      <w:pPr>
                        <w:rPr>
                          <w:color w:val="FFFFFF" w:themeColor="background1"/>
                          <w:sz w:val="180"/>
                          <w:szCs w:val="180"/>
                        </w:rPr>
                      </w:pPr>
                      <w:r w:rsidRPr="002F25EE">
                        <w:rPr>
                          <w:color w:val="FFFFFF" w:themeColor="background1"/>
                          <w:sz w:val="180"/>
                          <w:szCs w:val="180"/>
                        </w:rPr>
                        <w:t>}</w:t>
                      </w:r>
                    </w:p>
                  </w:txbxContent>
                </v:textbox>
              </v:shape>
            </w:pict>
          </mc:Fallback>
        </mc:AlternateContent>
      </w:r>
      <w:r w:rsidRPr="000767AE">
        <w:rPr>
          <w:rFonts w:ascii="Arial" w:hAnsi="Arial" w:cs="Arial"/>
          <w:b/>
        </w:rPr>
        <w:t>Legend:</w:t>
      </w:r>
      <w:r w:rsidRPr="000767AE">
        <w:rPr>
          <w:rFonts w:ascii="Arial" w:hAnsi="Arial" w:cs="Arial"/>
        </w:rPr>
        <w:t xml:space="preserve"> Whilst ESBL producing Enterobacteriaceae and MRSA are now nearly ubiquitous, certain novel types of resistance, amongst both Gram negative and Gram positive organisms</w:t>
      </w:r>
      <w:r w:rsidR="00200BAD" w:rsidRPr="000767AE">
        <w:rPr>
          <w:rFonts w:ascii="Arial" w:hAnsi="Arial" w:cs="Arial"/>
        </w:rPr>
        <w:t>,</w:t>
      </w:r>
      <w:r w:rsidRPr="000767AE">
        <w:rPr>
          <w:rFonts w:ascii="Arial" w:hAnsi="Arial" w:cs="Arial"/>
        </w:rPr>
        <w:t xml:space="preserve"> are of particular concern. Reports of these resistant organisms are widespread, and whilst the mechanisms of human-to-human transmission are likely to be complex, an association with travel might be suspected. Data shown includes </w:t>
      </w:r>
      <w:r w:rsidR="008F5473" w:rsidRPr="000767AE">
        <w:rPr>
          <w:rFonts w:ascii="Arial" w:hAnsi="Arial" w:cs="Arial"/>
        </w:rPr>
        <w:t>metallo-</w:t>
      </w:r>
      <w:r w:rsidRPr="000767AE">
        <w:rPr>
          <w:rFonts w:ascii="Arial" w:hAnsi="Arial" w:cs="Arial"/>
        </w:rPr>
        <w:t>carbapenemase producing Gram negative organisms,</w:t>
      </w:r>
      <w:r w:rsidRPr="000767AE">
        <w:rPr>
          <w:rFonts w:ascii="Arial" w:hAnsi="Arial" w:cs="Arial"/>
        </w:rPr>
        <w:fldChar w:fldCharType="begin" w:fldLock="1"/>
      </w:r>
      <w:r w:rsidR="009E0BAE">
        <w:rPr>
          <w:rFonts w:ascii="Arial" w:hAnsi="Arial" w:cs="Arial"/>
        </w:rPr>
        <w:instrText>ADDIN CSL_CITATION { "citationItems" : [ { "id" : "ITEM-1", "itemData" : { "DOI" : "10.1016/S1473-3099(11)70056-1", "ISSN" : "1474-4457", "PMID" : "21530894", "abstract" : "Metallo-\u03b2-lactamases are resistance determinants of increasing clinical relevance in Gram-negative bacteria. Because of their broad range, potent carbapenemase activity and resistance to inhibitors, these enzymes can confer resistance to almost all \u03b2-lactams. Since the 1990s, several metallo-\u03b2-lactamases encoded by mobile DNA have emerged in important Gram-negative pathogens (ie, in Enterobacteriaceae, Pseudomonas aeruginosa, and Acinetobacter baumannii). Some of these enzymes (eg, VIM-1 and NDM-1) have been involved in the recent crisis resulting from the international dissemination of carbapenem-resistant Klebsiella pneumoniae and other enterobacteria. Although substantial knowledge about the molecular biology and genetics of metallo-\u03b2-lactamases is available, epidemiological data are inconsistent and clinical experience is still lacking; therefore, several unsolved or debatable issues remain about the management of infections caused by producers of metallo-\u03b2-lactamase. The spread of metallo-\u03b2-lactamases presents a major challenge both for treatment of individual patients and for policies of infection control, exposing the substantial unpreparedness of public health structures in facing up to this emergency.", "author" : [ { "dropping-particle" : "", "family" : "Cornaglia", "given" : "Giuseppe", "non-dropping-particle" : "", "parse-names" : false, "suffix" : "" }, { "dropping-particle" : "", "family" : "Giamarellou", "given" : "Helen", "non-dropping-particle" : "", "parse-names" : false, "suffix" : "" }, { "dropping-particle" : "", "family" : "Rossolini", "given" : "Gian Maria", "non-dropping-particle" : "", "parse-names" : false, "suffix" : "" } ], "container-title" : "The Lancet infectious diseases", "id" : "ITEM-1", "issue" : "5", "issued" : { "date-parts" : [ [ "2011", "5" ] ] }, "page" : "381-93", "publisher" : "Elsevier Ltd", "title" : "Metallo-\u03b2-lactamases: a last frontier for \u03b2-lactams?", "type" : "article-journal", "volume" : "11" }, "uris" : [ "http://www.mendeley.com/documents/?uuid=93c54eb9-3f85-4143-8bf8-67f180e94d3f" ] } ], "mendeley" : { "formattedCitation" : "&lt;sup&gt;52&lt;/sup&gt;", "plainTextFormattedCitation" : "52", "previouslyFormattedCitation" : "&lt;sup&gt;53&lt;/sup&gt;" }, "properties" : { "noteIndex" : 0 }, "schema" : "https://github.com/citation-style-language/schema/raw/master/csl-citation.json" }</w:instrText>
      </w:r>
      <w:r w:rsidRPr="000767AE">
        <w:rPr>
          <w:rFonts w:ascii="Arial" w:hAnsi="Arial" w:cs="Arial"/>
        </w:rPr>
        <w:fldChar w:fldCharType="separate"/>
      </w:r>
      <w:r w:rsidR="009E0BAE" w:rsidRPr="009E0BAE">
        <w:rPr>
          <w:rFonts w:ascii="Arial" w:hAnsi="Arial" w:cs="Arial"/>
          <w:noProof/>
          <w:vertAlign w:val="superscript"/>
        </w:rPr>
        <w:t>52</w:t>
      </w:r>
      <w:r w:rsidRPr="000767AE">
        <w:rPr>
          <w:rFonts w:ascii="Arial" w:hAnsi="Arial" w:cs="Arial"/>
        </w:rPr>
        <w:fldChar w:fldCharType="end"/>
      </w:r>
      <w:r w:rsidRPr="000767AE">
        <w:rPr>
          <w:rFonts w:ascii="Arial" w:hAnsi="Arial" w:cs="Arial"/>
        </w:rPr>
        <w:t xml:space="preserve"> linezolid resistant enterococci,</w:t>
      </w:r>
      <w:r w:rsidRPr="000767AE">
        <w:rPr>
          <w:rFonts w:ascii="Arial" w:hAnsi="Arial" w:cs="Arial"/>
        </w:rPr>
        <w:fldChar w:fldCharType="begin" w:fldLock="1"/>
      </w:r>
      <w:r w:rsidR="009E0BAE">
        <w:rPr>
          <w:rFonts w:ascii="Arial" w:hAnsi="Arial" w:cs="Arial"/>
        </w:rPr>
        <w:instrText>ADDIN CSL_CITATION { "citationItems" : [ { "id" : "ITEM-1", "itemData" : { "DOI" : "10.1016/j.drup.2014.04.002", "ISSN" : "1532-2084", "PMID" : "24880801", "abstract" : "Linezolid, approved for clinical use since 2000, has become an important addition to the anti-Gram-positive infection armamentarium. This oxazolidinone drug has in vitro and in vivo activity against essentially all Gram-positive organisms, including methicillin-resistant Staphylococcus aureus (MRSA) and vancomycin-resistant enterococci (VRE). The in vitro activity of linezolid was well documented prior to its clinical application, and several ongoing surveillance studies demonstrated consistent and potent results during the subsequent years of clinical use. Emergence of resistance has been limited and associated with invasive procedures, deep organ involvement, presence of foreign material and mainly prolonged therapy. Non-susceptible organisms usually demonstrate alterations in the 23S rRNA target, which remain the main resistance mechanism observed in enterococci; although a few reports have described the detection of cfr-mediated resistance in Enterococcus faecalis. S. aureus isolates non-susceptible to linezolid remain rare in large surveillance studies. Most isolates harbour 23S rRNA mutations; however, cfr-carrying MRSA isolates have been observed in the United States and elsewhere. It is still uncertain whether the occurrences of such isolates are becoming more prevalent. Coagulase-negative isolates (CoNS) resistant to linezolid were uncommon following clinical approval. Surveillance data have indicated that CoNS isolates, mainly Staphylococcus epidermidis, currently account for the majority of Gram-positive organisms displaying elevated MIC results to linezolid. In addition, these isolates frequently demonstrate complex and numerous resistance mechanisms, such as alterations in the ribosomal proteins L3 and/or L4 and/or presence of cfr and/or modifications in 23S rRNA. The knowledge acquired during the past decades on this initially used oxazolidinone has been utilized for developing new candidate agents, such as tedizolid and radezolid, and as linezolid patents soon begin to expire, generic brands will certainly become available. These events will likely establish a new chapter for this successful class of antimicrobial agents.", "author" : [ { "dropping-particle" : "", "family" : "Mendes", "given" : "Rodrigo E", "non-dropping-particle" : "", "parse-names" : false, "suffix" : "" }, { "dropping-particle" : "", "family" : "Deshpande", "given" : "Lalitagauri M", "non-dropping-particle" : "", "parse-names" : false, "suffix" : "" }, { "dropping-particle" : "", "family" : "Jones", "given" : "Ronald N", "non-dropping-particle" : "", "parse-names" : false, "suffix" : "" } ], "container-title" : "Drug Resistance Updates", "id" : "ITEM-1", "issued" : { "date-parts" : [ [ "2014", "4" ] ] }, "page" : "1-12", "publisher" : "Elsevier Ltd", "title" : "Linezolid update: Stable in vitro activity following more than a decade of clinical use and summary of associated resistance mechanisms.", "type" : "article-journal", "volume" : "17" }, "uris" : [ "http://www.mendeley.com/documents/?uuid=83b8783b-954e-4ef2-b0d3-0996ac6446a0" ] } ], "mendeley" : { "formattedCitation" : "&lt;sup&gt;53&lt;/sup&gt;", "plainTextFormattedCitation" : "53", "previouslyFormattedCitation" : "&lt;sup&gt;54&lt;/sup&gt;" }, "properties" : { "noteIndex" : 0 }, "schema" : "https://github.com/citation-style-language/schema/raw/master/csl-citation.json" }</w:instrText>
      </w:r>
      <w:r w:rsidRPr="000767AE">
        <w:rPr>
          <w:rFonts w:ascii="Arial" w:hAnsi="Arial" w:cs="Arial"/>
        </w:rPr>
        <w:fldChar w:fldCharType="separate"/>
      </w:r>
      <w:r w:rsidR="009E0BAE" w:rsidRPr="009E0BAE">
        <w:rPr>
          <w:rFonts w:ascii="Arial" w:hAnsi="Arial" w:cs="Arial"/>
          <w:noProof/>
          <w:vertAlign w:val="superscript"/>
        </w:rPr>
        <w:t>53</w:t>
      </w:r>
      <w:r w:rsidRPr="000767AE">
        <w:rPr>
          <w:rFonts w:ascii="Arial" w:hAnsi="Arial" w:cs="Arial"/>
        </w:rPr>
        <w:fldChar w:fldCharType="end"/>
      </w:r>
      <w:r w:rsidRPr="000767AE">
        <w:rPr>
          <w:rFonts w:ascii="Arial" w:hAnsi="Arial" w:cs="Arial"/>
        </w:rPr>
        <w:t xml:space="preserve"> and reported cefixime/ceftriaxone treatment failures for Neisseria gonorrhoea.</w:t>
      </w:r>
      <w:r w:rsidRPr="000767AE">
        <w:rPr>
          <w:rFonts w:ascii="Arial" w:hAnsi="Arial" w:cs="Arial"/>
        </w:rPr>
        <w:fldChar w:fldCharType="begin" w:fldLock="1"/>
      </w:r>
      <w:r w:rsidR="009E0BAE">
        <w:rPr>
          <w:rFonts w:ascii="Arial" w:hAnsi="Arial" w:cs="Arial"/>
        </w:rPr>
        <w:instrText>ADDIN CSL_CITATION { "citationItems" : [ { "id" : "ITEM-1", "itemData" : { "author" : [ { "dropping-particle" : "", "family" : "World Health Organization", "given" : "", "non-dropping-particle" : "", "parse-names" : false, "suffix" : "" } ], "id" : "ITEM-1", "issued" : { "date-parts" : [ [ "2012" ] ] }, "publisher-place" : "Geneva", "title" : "Baseline report on global sexually transmitted infection surveillance 2012", "type" : "report" }, "uris" : [ "http://www.mendeley.com/documents/?uuid=ac6cb466-8f77-4e7c-bc41-ae867e0f4add" ] } ], "mendeley" : { "formattedCitation" : "&lt;sup&gt;54&lt;/sup&gt;", "plainTextFormattedCitation" : "54", "previouslyFormattedCitation" : "&lt;sup&gt;55&lt;/sup&gt;" }, "properties" : { "noteIndex" : 0 }, "schema" : "https://github.com/citation-style-language/schema/raw/master/csl-citation.json" }</w:instrText>
      </w:r>
      <w:r w:rsidRPr="000767AE">
        <w:rPr>
          <w:rFonts w:ascii="Arial" w:hAnsi="Arial" w:cs="Arial"/>
        </w:rPr>
        <w:fldChar w:fldCharType="separate"/>
      </w:r>
      <w:r w:rsidR="009E0BAE" w:rsidRPr="009E0BAE">
        <w:rPr>
          <w:rFonts w:ascii="Arial" w:hAnsi="Arial" w:cs="Arial"/>
          <w:noProof/>
          <w:vertAlign w:val="superscript"/>
        </w:rPr>
        <w:t>54</w:t>
      </w:r>
      <w:r w:rsidRPr="000767AE">
        <w:rPr>
          <w:rFonts w:ascii="Arial" w:hAnsi="Arial" w:cs="Arial"/>
        </w:rPr>
        <w:fldChar w:fldCharType="end"/>
      </w:r>
      <w:r w:rsidRPr="000767AE">
        <w:rPr>
          <w:rFonts w:ascii="Arial" w:hAnsi="Arial" w:cs="Arial"/>
        </w:rPr>
        <w:t xml:space="preserve"> Flight path </w:t>
      </w:r>
      <w:r w:rsidR="00FD4F1F" w:rsidRPr="000767AE">
        <w:rPr>
          <w:rFonts w:ascii="Arial" w:hAnsi="Arial" w:cs="Arial"/>
        </w:rPr>
        <w:t>data developed by Dr Jonathan Read and Professor Tom Solomon</w:t>
      </w:r>
      <w:r w:rsidR="008C208B" w:rsidRPr="000767AE">
        <w:rPr>
          <w:rFonts w:ascii="Arial" w:hAnsi="Arial" w:cs="Arial"/>
        </w:rPr>
        <w:t>, based on the number of commercial flight bookings made</w:t>
      </w:r>
      <w:r w:rsidR="00995E00" w:rsidRPr="000767AE">
        <w:rPr>
          <w:rFonts w:ascii="Arial" w:hAnsi="Arial" w:cs="Arial"/>
        </w:rPr>
        <w:t xml:space="preserve"> (number of travellers may be higher)</w:t>
      </w:r>
      <w:r w:rsidRPr="000767AE">
        <w:rPr>
          <w:rFonts w:ascii="Arial" w:hAnsi="Arial" w:cs="Arial"/>
        </w:rPr>
        <w:t>.</w:t>
      </w:r>
      <w:r w:rsidR="00660147" w:rsidRPr="000767AE">
        <w:rPr>
          <w:rFonts w:ascii="Arial" w:hAnsi="Arial" w:cs="Arial"/>
          <w:b/>
          <w:sz w:val="24"/>
          <w:szCs w:val="24"/>
        </w:rPr>
        <w:t xml:space="preserve"> </w:t>
      </w:r>
      <w:r w:rsidRPr="000767AE">
        <w:rPr>
          <w:rFonts w:ascii="Arial" w:hAnsi="Arial" w:cs="Arial"/>
          <w:b/>
          <w:sz w:val="24"/>
          <w:szCs w:val="24"/>
        </w:rPr>
        <w:br w:type="page"/>
      </w:r>
    </w:p>
    <w:p w14:paraId="00EB41D3" w14:textId="513A54CB" w:rsidR="001A303C" w:rsidRPr="000767AE" w:rsidRDefault="00190155" w:rsidP="007734F8">
      <w:pPr>
        <w:divId w:val="1073503928"/>
        <w:rPr>
          <w:rFonts w:ascii="Arial" w:hAnsi="Arial" w:cs="Arial"/>
          <w:b/>
        </w:rPr>
      </w:pPr>
      <w:proofErr w:type="gramStart"/>
      <w:r w:rsidRPr="000767AE">
        <w:rPr>
          <w:rFonts w:ascii="Arial" w:hAnsi="Arial" w:cs="Arial"/>
          <w:b/>
        </w:rPr>
        <w:lastRenderedPageBreak/>
        <w:t xml:space="preserve">Figure </w:t>
      </w:r>
      <w:r w:rsidR="007C3760" w:rsidRPr="000767AE">
        <w:rPr>
          <w:rFonts w:ascii="Arial" w:hAnsi="Arial" w:cs="Arial"/>
          <w:b/>
        </w:rPr>
        <w:t>3</w:t>
      </w:r>
      <w:r w:rsidRPr="000767AE">
        <w:rPr>
          <w:rFonts w:ascii="Arial" w:hAnsi="Arial" w:cs="Arial"/>
          <w:b/>
        </w:rPr>
        <w:t>.</w:t>
      </w:r>
      <w:proofErr w:type="gramEnd"/>
      <w:r w:rsidRPr="000767AE">
        <w:rPr>
          <w:rFonts w:ascii="Arial" w:hAnsi="Arial" w:cs="Arial"/>
          <w:b/>
        </w:rPr>
        <w:t xml:space="preserve"> </w:t>
      </w:r>
    </w:p>
    <w:p w14:paraId="662BFFFD" w14:textId="215FCA3F" w:rsidR="001558E3" w:rsidRPr="000767AE" w:rsidRDefault="00667B70" w:rsidP="00190155">
      <w:pPr>
        <w:rPr>
          <w:rFonts w:ascii="Arial" w:hAnsi="Arial" w:cs="Arial"/>
          <w:b/>
        </w:rPr>
      </w:pPr>
      <w:r w:rsidRPr="000767AE">
        <w:rPr>
          <w:rFonts w:ascii="Arial" w:hAnsi="Arial" w:cs="Arial"/>
          <w:b/>
        </w:rPr>
        <w:t xml:space="preserve">Role of </w:t>
      </w:r>
      <w:r w:rsidR="000B00C9" w:rsidRPr="000767AE">
        <w:rPr>
          <w:rFonts w:ascii="Arial" w:hAnsi="Arial" w:cs="Arial"/>
          <w:b/>
        </w:rPr>
        <w:t xml:space="preserve">modifiable </w:t>
      </w:r>
      <w:r w:rsidR="00C90B30" w:rsidRPr="000767AE">
        <w:rPr>
          <w:rFonts w:ascii="Arial" w:hAnsi="Arial" w:cs="Arial"/>
          <w:b/>
        </w:rPr>
        <w:t>d</w:t>
      </w:r>
      <w:r w:rsidR="00190155" w:rsidRPr="000767AE">
        <w:rPr>
          <w:rFonts w:ascii="Arial" w:hAnsi="Arial" w:cs="Arial"/>
          <w:b/>
        </w:rPr>
        <w:t>rivers to</w:t>
      </w:r>
      <w:r w:rsidRPr="000767AE">
        <w:rPr>
          <w:rFonts w:ascii="Arial" w:hAnsi="Arial" w:cs="Arial"/>
          <w:b/>
        </w:rPr>
        <w:t>wards antimicrobial resistance: a conceptual framework</w:t>
      </w:r>
      <w:r w:rsidR="00DD5BE2" w:rsidRPr="000767AE">
        <w:rPr>
          <w:rFonts w:ascii="Arial" w:hAnsi="Arial" w:cs="Arial"/>
          <w:b/>
        </w:rPr>
        <w:t xml:space="preserve"> </w:t>
      </w:r>
    </w:p>
    <w:p w14:paraId="08BABE4F" w14:textId="249020EC" w:rsidR="00B75BA7" w:rsidRPr="000767AE" w:rsidRDefault="00B75BA7" w:rsidP="00190155">
      <w:pPr>
        <w:rPr>
          <w:rFonts w:ascii="Arial" w:hAnsi="Arial" w:cs="Arial"/>
          <w:b/>
        </w:rPr>
      </w:pPr>
      <w:r w:rsidRPr="000767AE">
        <w:rPr>
          <w:rFonts w:ascii="Arial" w:hAnsi="Arial" w:cs="Arial"/>
          <w:b/>
          <w:noProof/>
          <w:lang w:eastAsia="en-GB"/>
        </w:rPr>
        <w:drawing>
          <wp:inline distT="0" distB="0" distL="0" distR="0" wp14:anchorId="484BC524" wp14:editId="014E9300">
            <wp:extent cx="4928189" cy="4738255"/>
            <wp:effectExtent l="0" t="0" r="635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4">
                      <a:extLst>
                        <a:ext uri="{28A0092B-C50C-407E-A947-70E740481C1C}">
                          <a14:useLocalDpi xmlns:a14="http://schemas.microsoft.com/office/drawing/2010/main" val="0"/>
                        </a:ext>
                      </a:extLst>
                    </a:blip>
                    <a:stretch>
                      <a:fillRect/>
                    </a:stretch>
                  </pic:blipFill>
                  <pic:spPr>
                    <a:xfrm>
                      <a:off x="0" y="0"/>
                      <a:ext cx="4918641" cy="4729075"/>
                    </a:xfrm>
                    <a:prstGeom prst="rect">
                      <a:avLst/>
                    </a:prstGeom>
                  </pic:spPr>
                </pic:pic>
              </a:graphicData>
            </a:graphic>
          </wp:inline>
        </w:drawing>
      </w:r>
    </w:p>
    <w:p w14:paraId="268D681A" w14:textId="77777777" w:rsidR="00B75BA7" w:rsidRPr="000767AE" w:rsidRDefault="00B75BA7" w:rsidP="00190155">
      <w:pPr>
        <w:rPr>
          <w:rFonts w:ascii="Arial" w:hAnsi="Arial" w:cs="Arial"/>
          <w:b/>
        </w:rPr>
      </w:pPr>
    </w:p>
    <w:p w14:paraId="074D1238" w14:textId="5C0276A5" w:rsidR="00667B70" w:rsidRPr="000767AE" w:rsidRDefault="00190155" w:rsidP="00190155">
      <w:pPr>
        <w:rPr>
          <w:rFonts w:ascii="Arial" w:hAnsi="Arial" w:cs="Arial"/>
        </w:rPr>
      </w:pPr>
      <w:r w:rsidRPr="000767AE">
        <w:rPr>
          <w:rFonts w:ascii="Arial" w:hAnsi="Arial" w:cs="Arial"/>
          <w:b/>
        </w:rPr>
        <w:t>Legend:</w:t>
      </w:r>
      <w:r w:rsidRPr="000767AE">
        <w:rPr>
          <w:rFonts w:ascii="Arial" w:hAnsi="Arial" w:cs="Arial"/>
        </w:rPr>
        <w:t xml:space="preserve"> </w:t>
      </w:r>
      <w:r w:rsidR="00667B70" w:rsidRPr="000767AE">
        <w:rPr>
          <w:rFonts w:ascii="Arial" w:hAnsi="Arial" w:cs="Arial"/>
        </w:rPr>
        <w:t xml:space="preserve">A hypothetical info-graphic to illustrate the potential </w:t>
      </w:r>
      <w:r w:rsidR="00865D4E" w:rsidRPr="000767AE">
        <w:rPr>
          <w:rFonts w:ascii="Arial" w:hAnsi="Arial" w:cs="Arial"/>
        </w:rPr>
        <w:t>contribution of each factor as a driver for AMR</w:t>
      </w:r>
      <w:r w:rsidR="00667B70" w:rsidRPr="000767AE">
        <w:rPr>
          <w:rFonts w:ascii="Arial" w:hAnsi="Arial" w:cs="Arial"/>
        </w:rPr>
        <w:t xml:space="preserve">, the </w:t>
      </w:r>
      <w:r w:rsidR="00963C0E" w:rsidRPr="000767AE">
        <w:rPr>
          <w:rFonts w:ascii="Arial" w:hAnsi="Arial" w:cs="Arial"/>
        </w:rPr>
        <w:t xml:space="preserve">supporting </w:t>
      </w:r>
      <w:r w:rsidR="00667B70" w:rsidRPr="000767AE">
        <w:rPr>
          <w:rFonts w:ascii="Arial" w:hAnsi="Arial" w:cs="Arial"/>
        </w:rPr>
        <w:t>evidence</w:t>
      </w:r>
      <w:r w:rsidR="00865D4E" w:rsidRPr="000767AE">
        <w:rPr>
          <w:rFonts w:ascii="Arial" w:hAnsi="Arial" w:cs="Arial"/>
        </w:rPr>
        <w:t xml:space="preserve"> for each,</w:t>
      </w:r>
      <w:r w:rsidR="00963C0E" w:rsidRPr="000767AE">
        <w:rPr>
          <w:rFonts w:ascii="Arial" w:hAnsi="Arial" w:cs="Arial"/>
        </w:rPr>
        <w:t xml:space="preserve"> </w:t>
      </w:r>
      <w:r w:rsidR="00667B70" w:rsidRPr="000767AE">
        <w:rPr>
          <w:rFonts w:ascii="Arial" w:hAnsi="Arial" w:cs="Arial"/>
        </w:rPr>
        <w:t xml:space="preserve">and </w:t>
      </w:r>
      <w:r w:rsidR="00865D4E" w:rsidRPr="000767AE">
        <w:rPr>
          <w:rFonts w:ascii="Arial" w:hAnsi="Arial" w:cs="Arial"/>
        </w:rPr>
        <w:t>potential population affected (diameter of bubble)</w:t>
      </w:r>
      <w:r w:rsidR="00847527" w:rsidRPr="000767AE">
        <w:rPr>
          <w:rFonts w:ascii="Arial" w:hAnsi="Arial" w:cs="Arial"/>
        </w:rPr>
        <w:t>.</w:t>
      </w:r>
      <w:r w:rsidR="002F67F6" w:rsidRPr="000767AE">
        <w:rPr>
          <w:rFonts w:ascii="Arial" w:hAnsi="Arial" w:cs="Arial"/>
        </w:rPr>
        <w:t xml:space="preserve"> </w:t>
      </w:r>
      <w:proofErr w:type="gramStart"/>
      <w:r w:rsidR="00865D4E" w:rsidRPr="000767AE">
        <w:rPr>
          <w:rFonts w:ascii="Arial" w:hAnsi="Arial" w:cs="Arial"/>
        </w:rPr>
        <w:t>C</w:t>
      </w:r>
      <w:r w:rsidR="002F67F6" w:rsidRPr="000767AE">
        <w:rPr>
          <w:rFonts w:ascii="Arial" w:hAnsi="Arial" w:cs="Arial"/>
        </w:rPr>
        <w:t>reated from a two round Delphi method</w:t>
      </w:r>
      <w:r w:rsidR="00865D4E" w:rsidRPr="000767AE">
        <w:rPr>
          <w:rFonts w:ascii="Arial" w:hAnsi="Arial" w:cs="Arial"/>
        </w:rPr>
        <w:t xml:space="preserve"> of contributing authors</w:t>
      </w:r>
      <w:r w:rsidR="00667B70" w:rsidRPr="000767AE">
        <w:rPr>
          <w:rFonts w:ascii="Arial" w:hAnsi="Arial" w:cs="Arial"/>
        </w:rPr>
        <w:t>.</w:t>
      </w:r>
      <w:proofErr w:type="gramEnd"/>
      <w:r w:rsidR="00667B70" w:rsidRPr="000767AE">
        <w:rPr>
          <w:rFonts w:ascii="Arial" w:hAnsi="Arial" w:cs="Arial"/>
        </w:rPr>
        <w:t xml:space="preserve"> </w:t>
      </w:r>
      <w:r w:rsidR="00865D4E" w:rsidRPr="000767AE">
        <w:rPr>
          <w:rFonts w:ascii="Arial" w:hAnsi="Arial" w:cs="Arial"/>
        </w:rPr>
        <w:t>Factors were</w:t>
      </w:r>
      <w:r w:rsidRPr="000767AE">
        <w:rPr>
          <w:rFonts w:ascii="Arial" w:hAnsi="Arial" w:cs="Arial"/>
        </w:rPr>
        <w:t xml:space="preserve"> identified from review of the national and international AMR policy documents. The GRADE approach was used to identify the quality of the evidence </w:t>
      </w:r>
      <w:r w:rsidR="00847527" w:rsidRPr="000767AE">
        <w:rPr>
          <w:rFonts w:ascii="Arial" w:hAnsi="Arial" w:cs="Arial"/>
        </w:rPr>
        <w:t xml:space="preserve">(English language scientific publications (1990-2014) identified from search of “factor” AND “antimicrobial resistance”; where multiple articles on the same topic were identified, the study with the highest GRADE estimate was cited) </w:t>
      </w:r>
      <w:r w:rsidRPr="000767AE">
        <w:rPr>
          <w:rFonts w:ascii="Arial" w:hAnsi="Arial" w:cs="Arial"/>
        </w:rPr>
        <w:t>supporting each driver as being contributory to the rise in antimicrobial resistance (</w:t>
      </w:r>
      <w:r w:rsidR="00C8340F" w:rsidRPr="00C8340F">
        <w:rPr>
          <w:rFonts w:ascii="Arial" w:hAnsi="Arial" w:cs="Arial"/>
          <w:b/>
        </w:rPr>
        <w:t xml:space="preserve">Supplementary </w:t>
      </w:r>
      <w:r w:rsidR="00A466C6" w:rsidRPr="00C8340F">
        <w:rPr>
          <w:rFonts w:ascii="Arial" w:hAnsi="Arial" w:cs="Arial"/>
          <w:b/>
        </w:rPr>
        <w:t>Table</w:t>
      </w:r>
      <w:r w:rsidR="00A466C6" w:rsidRPr="000767AE">
        <w:rPr>
          <w:rFonts w:ascii="Arial" w:hAnsi="Arial" w:cs="Arial"/>
          <w:b/>
        </w:rPr>
        <w:t xml:space="preserve"> 2</w:t>
      </w:r>
      <w:r w:rsidR="00667B70" w:rsidRPr="000767AE">
        <w:rPr>
          <w:rFonts w:ascii="Arial" w:hAnsi="Arial" w:cs="Arial"/>
        </w:rPr>
        <w:t xml:space="preserve">). </w:t>
      </w:r>
      <w:r w:rsidR="00847527" w:rsidRPr="000767AE">
        <w:rPr>
          <w:rFonts w:ascii="Arial" w:hAnsi="Arial" w:cs="Arial"/>
        </w:rPr>
        <w:t>R</w:t>
      </w:r>
      <w:r w:rsidR="001558E3" w:rsidRPr="000767AE">
        <w:rPr>
          <w:rFonts w:ascii="Arial" w:hAnsi="Arial" w:cs="Arial"/>
        </w:rPr>
        <w:t xml:space="preserve">elative </w:t>
      </w:r>
      <w:r w:rsidR="00667B70" w:rsidRPr="000767AE">
        <w:rPr>
          <w:rFonts w:ascii="Arial" w:hAnsi="Arial" w:cs="Arial"/>
        </w:rPr>
        <w:t xml:space="preserve">contribution </w:t>
      </w:r>
      <w:r w:rsidR="00847527" w:rsidRPr="000767AE">
        <w:rPr>
          <w:rFonts w:ascii="Arial" w:hAnsi="Arial" w:cs="Arial"/>
        </w:rPr>
        <w:t xml:space="preserve">and potentially affected population </w:t>
      </w:r>
      <w:r w:rsidRPr="000767AE">
        <w:rPr>
          <w:rFonts w:ascii="Arial" w:hAnsi="Arial" w:cs="Arial"/>
        </w:rPr>
        <w:t>based upon</w:t>
      </w:r>
      <w:r w:rsidR="00667B70" w:rsidRPr="000767AE">
        <w:rPr>
          <w:rFonts w:ascii="Arial" w:hAnsi="Arial" w:cs="Arial"/>
        </w:rPr>
        <w:t xml:space="preserve"> </w:t>
      </w:r>
      <w:r w:rsidR="009261D2" w:rsidRPr="000767AE">
        <w:rPr>
          <w:rFonts w:ascii="Arial" w:hAnsi="Arial" w:cs="Arial"/>
        </w:rPr>
        <w:t xml:space="preserve">consensus </w:t>
      </w:r>
      <w:r w:rsidR="001558E3" w:rsidRPr="000767AE">
        <w:rPr>
          <w:rFonts w:ascii="Arial" w:hAnsi="Arial" w:cs="Arial"/>
        </w:rPr>
        <w:t>expert opinion</w:t>
      </w:r>
      <w:r w:rsidR="00847527" w:rsidRPr="000767AE">
        <w:rPr>
          <w:rFonts w:ascii="Arial" w:hAnsi="Arial" w:cs="Arial"/>
        </w:rPr>
        <w:t>.</w:t>
      </w:r>
    </w:p>
    <w:p w14:paraId="3E56388A" w14:textId="30CC2B01" w:rsidR="00190155" w:rsidRPr="000767AE" w:rsidRDefault="00190155">
      <w:pPr>
        <w:spacing w:after="200" w:line="276" w:lineRule="auto"/>
        <w:rPr>
          <w:rFonts w:ascii="Arial" w:hAnsi="Arial" w:cs="Arial"/>
          <w:b/>
        </w:rPr>
      </w:pPr>
      <w:r w:rsidRPr="000767AE">
        <w:rPr>
          <w:rFonts w:ascii="Arial" w:hAnsi="Arial" w:cs="Arial"/>
          <w:b/>
        </w:rPr>
        <w:br w:type="page"/>
      </w:r>
    </w:p>
    <w:p w14:paraId="4294408B" w14:textId="284B2818" w:rsidR="00A053CE" w:rsidRPr="000767AE" w:rsidRDefault="00A053CE" w:rsidP="00A053CE">
      <w:pPr>
        <w:divId w:val="1073503928"/>
        <w:rPr>
          <w:rFonts w:ascii="Arial" w:hAnsi="Arial" w:cs="Arial"/>
          <w:sz w:val="24"/>
          <w:szCs w:val="24"/>
        </w:rPr>
      </w:pPr>
      <w:proofErr w:type="gramStart"/>
      <w:r w:rsidRPr="000767AE">
        <w:rPr>
          <w:rFonts w:ascii="Arial" w:hAnsi="Arial" w:cs="Arial"/>
          <w:b/>
          <w:sz w:val="24"/>
          <w:szCs w:val="24"/>
        </w:rPr>
        <w:lastRenderedPageBreak/>
        <w:t>Panel 1</w:t>
      </w:r>
      <w:r w:rsidRPr="000767AE">
        <w:rPr>
          <w:rFonts w:ascii="Arial" w:hAnsi="Arial" w:cs="Arial"/>
          <w:sz w:val="24"/>
          <w:szCs w:val="24"/>
        </w:rPr>
        <w:t>.</w:t>
      </w:r>
      <w:proofErr w:type="gramEnd"/>
      <w:r w:rsidRPr="000767AE">
        <w:rPr>
          <w:rFonts w:ascii="Arial" w:hAnsi="Arial" w:cs="Arial"/>
          <w:sz w:val="24"/>
          <w:szCs w:val="24"/>
        </w:rPr>
        <w:t xml:space="preserve"> </w:t>
      </w:r>
      <w:r w:rsidR="00190410" w:rsidRPr="000767AE">
        <w:rPr>
          <w:rFonts w:ascii="Arial" w:hAnsi="Arial" w:cs="Arial"/>
          <w:b/>
          <w:sz w:val="24"/>
          <w:szCs w:val="24"/>
        </w:rPr>
        <w:t xml:space="preserve">Reversibility of antimicrobial resistance following withdrawal of </w:t>
      </w:r>
      <w:r w:rsidR="0021134C" w:rsidRPr="000767AE">
        <w:rPr>
          <w:rFonts w:ascii="Arial" w:hAnsi="Arial" w:cs="Arial"/>
          <w:b/>
          <w:sz w:val="24"/>
          <w:szCs w:val="24"/>
        </w:rPr>
        <w:t xml:space="preserve">antimicrobial </w:t>
      </w:r>
      <w:r w:rsidR="00190410" w:rsidRPr="000767AE">
        <w:rPr>
          <w:rFonts w:ascii="Arial" w:hAnsi="Arial" w:cs="Arial"/>
          <w:b/>
          <w:sz w:val="24"/>
          <w:szCs w:val="24"/>
        </w:rPr>
        <w:t>selective pressure in human and animal populations: a complex picture.</w:t>
      </w:r>
    </w:p>
    <w:p w14:paraId="4C7CEC63" w14:textId="6D866AAD" w:rsidR="00A053CE" w:rsidRPr="000767AE" w:rsidRDefault="000D27F1" w:rsidP="00A053CE">
      <w:pPr>
        <w:pStyle w:val="NormalWeb"/>
        <w:ind w:left="640" w:hanging="640"/>
        <w:divId w:val="1073503928"/>
      </w:pPr>
      <w:r w:rsidRPr="000767AE">
        <w:rPr>
          <w:rFonts w:ascii="Arial" w:hAnsi="Arial" w:cs="Arial"/>
          <w:b/>
          <w:noProof/>
        </w:rPr>
        <mc:AlternateContent>
          <mc:Choice Requires="wps">
            <w:drawing>
              <wp:anchor distT="0" distB="0" distL="114300" distR="114300" simplePos="0" relativeHeight="251671552" behindDoc="0" locked="0" layoutInCell="1" allowOverlap="1" wp14:anchorId="492AEAC1" wp14:editId="26F58FBB">
                <wp:simplePos x="0" y="0"/>
                <wp:positionH relativeFrom="column">
                  <wp:posOffset>0</wp:posOffset>
                </wp:positionH>
                <wp:positionV relativeFrom="paragraph">
                  <wp:posOffset>51435</wp:posOffset>
                </wp:positionV>
                <wp:extent cx="4124960" cy="5071745"/>
                <wp:effectExtent l="0" t="0" r="27940" b="1460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960" cy="5071745"/>
                        </a:xfrm>
                        <a:prstGeom prst="rect">
                          <a:avLst/>
                        </a:prstGeom>
                        <a:solidFill>
                          <a:srgbClr val="FFFFFF"/>
                        </a:solidFill>
                        <a:ln w="9525">
                          <a:solidFill>
                            <a:srgbClr val="000000"/>
                          </a:solidFill>
                          <a:miter lim="800000"/>
                          <a:headEnd/>
                          <a:tailEnd/>
                        </a:ln>
                      </wps:spPr>
                      <wps:txbx>
                        <w:txbxContent>
                          <w:p w14:paraId="14B6A0BF" w14:textId="77777777" w:rsidR="008F211C" w:rsidRPr="003D4C10" w:rsidRDefault="008F211C" w:rsidP="00A053CE">
                            <w:pPr>
                              <w:rPr>
                                <w:rFonts w:ascii="Arial" w:hAnsi="Arial" w:cs="Arial"/>
                                <w:b/>
                                <w:u w:val="single"/>
                                <w:lang w:val="en-US"/>
                              </w:rPr>
                            </w:pPr>
                            <w:r w:rsidRPr="003D4C10">
                              <w:rPr>
                                <w:rFonts w:ascii="Arial" w:hAnsi="Arial" w:cs="Arial"/>
                                <w:b/>
                                <w:u w:val="single"/>
                                <w:lang w:val="en-US"/>
                              </w:rPr>
                              <w:t>Human Health:</w:t>
                            </w:r>
                          </w:p>
                          <w:p w14:paraId="7A13391E" w14:textId="2B16E644" w:rsidR="008F211C" w:rsidRPr="003D4C10" w:rsidRDefault="008F211C" w:rsidP="00A053CE">
                            <w:pPr>
                              <w:rPr>
                                <w:rFonts w:ascii="Arial" w:hAnsi="Arial" w:cs="Arial"/>
                                <w:lang w:val="en-US"/>
                              </w:rPr>
                            </w:pPr>
                            <w:r w:rsidRPr="003D4C10">
                              <w:rPr>
                                <w:rFonts w:ascii="Arial" w:hAnsi="Arial" w:cs="Arial"/>
                                <w:lang w:val="en-US"/>
                              </w:rPr>
                              <w:t xml:space="preserve">Evidence of correlation between reducing antimicrobial use and falls in AMR is complex, yet among Gram-positive organisms success have been seen. In a French prospective trial a reduction in </w:t>
                            </w:r>
                            <w:r w:rsidRPr="003D4C10">
                              <w:rPr>
                                <w:rFonts w:ascii="Arial" w:hAnsi="Arial" w:cs="Arial"/>
                              </w:rPr>
                              <w:t>antimicrobial</w:t>
                            </w:r>
                            <w:r w:rsidRPr="003D4C10">
                              <w:rPr>
                                <w:rFonts w:ascii="Arial" w:hAnsi="Arial" w:cs="Arial"/>
                                <w:lang w:val="en-US"/>
                              </w:rPr>
                              <w:t xml:space="preserve"> use corresponded to significantly decreased pharyngeal colonization penicillin-non-susceptible </w:t>
                            </w:r>
                            <w:r>
                              <w:rPr>
                                <w:rFonts w:ascii="Arial" w:hAnsi="Arial" w:cs="Arial"/>
                                <w:i/>
                                <w:lang w:val="en-US"/>
                              </w:rPr>
                              <w:t>S. pneumonia</w:t>
                            </w:r>
                            <w:r w:rsidRPr="000D27F1">
                              <w:rPr>
                                <w:rFonts w:ascii="Arial" w:hAnsi="Arial" w:cs="Arial"/>
                                <w:i/>
                                <w:highlight w:val="yellow"/>
                                <w:lang w:val="en-US"/>
                              </w:rPr>
                              <w:t>.</w:t>
                            </w:r>
                            <w:r w:rsidRPr="000D27F1">
                              <w:rPr>
                                <w:rFonts w:ascii="Arial" w:hAnsi="Arial" w:cs="Arial"/>
                                <w:highlight w:val="yellow"/>
                                <w:lang w:val="en-US"/>
                              </w:rPr>
                              <w:fldChar w:fldCharType="begin" w:fldLock="1"/>
                            </w:r>
                            <w:r w:rsidR="009E0BAE">
                              <w:rPr>
                                <w:rFonts w:ascii="Arial" w:hAnsi="Arial" w:cs="Arial"/>
                                <w:highlight w:val="yellow"/>
                                <w:lang w:val="en-US"/>
                              </w:rPr>
                              <w:instrText>ADDIN CSL_CITATION { "citationItems" : [ { "id" : "ITEM-1", "itemData" : { "DOI" : "10.1086/432721", "ISSN" : "1537-6591", "PMID" : "16142656", "abstract" : "BACKGROUND: There is a lack of evidence documenting the impact of optimized antibiotic use on the rates of colonization with penicillin G-nonsusceptible Streptococcus pneumoniae (PNSP) in children. This study evaluates the effect of community-based intervention strategies on the prevalence of pnsp colonization. METHODS: A controlled, population-based pharmacoepidemiological trial was conducted from January through May 2000. Three French geographic areas were selected on the basis of demographic similarities. Two intervention strategies were implemented: (1) reduced antibiotic use, which was achieved by not prescribing antibiotics for presumed viral respiratory tract infections (the prescription-reduction group); and (2) better adaptation of dose and duration (the dose/duration group). A control group received no intervention. The target population was children aged 3-6 years who were attending kindergarten. Oropharyngeal pneumococcus colonization and antibiotic use were monitored throughout the 5-month study. RESULTS: The prescription-reduction, dose/duration, and control groups included 601, 483, and 405 children, respectively. The interventions induced significantly larger decreases in antibiotic use in the prescription-reduction group (-18.8%) and dose/duration group (-17.1%) than in the control group (-3.8%), and the rates of PNSP colonization were initially similar for the 3 groups (52.5%, 55.1%, and 50.0%, respectively). At the end of the 5-month study, the rates of PNSP colonization were 34.5% for the prescription-reduction group (P=.05) and 44.3% for the dose/duration group (P=.8), compared with 46.2% for the control group. CONCLUSIONS: Intensive educational strategies aimed at optimizing antibiotic use can significantly reduce the rate of PNSP colonization in areas with high resistance rates.", "author" : [ { "dropping-particle" : "", "family" : "Guillemot", "given" : "Didier", "non-dropping-particle" : "", "parse-names" : false, "suffix" : "" }, { "dropping-particle" : "", "family" : "Varon", "given" : "Emmanuelle", "non-dropping-particle" : "", "parse-names" : false, "suffix" : "" }, { "dropping-particle" : "", "family" : "Bern\u00e8de", "given" : "Claire", "non-dropping-particle" : "", "parse-names" : false, "suffix" : "" }, { "dropping-particle" : "", "family" : "Weber", "given" : "Philippe", "non-dropping-particle" : "", "parse-names" : false, "suffix" : "" }, { "dropping-particle" : "", "family" : "Henriet", "given" : "Laurence", "non-dropping-particle" : "", "parse-names" : false, "suffix" : "" }, { "dropping-particle" : "", "family" : "Simon", "given" : "Sylvie", "non-dropping-particle" : "", "parse-names" : false, "suffix" : "" }, { "dropping-particle" : "", "family" : "Laurent", "given" : "C\u00e9cile", "non-dropping-particle" : "", "parse-names" : false, "suffix" : "" }, { "dropping-particle" : "", "family" : "Lecoeur", "given" : "Herv\u00e9", "non-dropping-particle" : "", "parse-names" : false, "suffix" : "" }, { "dropping-particle" : "", "family" : "Carbon", "given" : "Claude", "non-dropping-particle" : "", "parse-names" : false, "suffix" : "" } ], "container-title" : "Clinical Infectious Diseases", "id" : "ITEM-1", "issue" : "7", "issued" : { "date-parts" : [ [ "2005", "10", "1" ] ] }, "page" : "930-8", "title" : "Reduction of antibiotic use in the community reduces the rate of colonization with penicillin G-nonsusceptible Streptococcus pneumoniae.", "type" : "article-journal", "volume" : "41" }, "uris" : [ "http://www.mendeley.com/documents/?uuid=d65f5e7e-6ea3-4b53-ba5a-00bba9bd6394" ] } ], "mendeley" : { "formattedCitation" : "&lt;sup&gt;110&lt;/sup&gt;", "plainTextFormattedCitation" : "110", "previouslyFormattedCitation" : "&lt;sup&gt;111&lt;/sup&gt;" }, "properties" : { "noteIndex" : 0 }, "schema" : "https://github.com/citation-style-language/schema/raw/master/csl-citation.json" }</w:instrText>
                            </w:r>
                            <w:r w:rsidRPr="000D27F1">
                              <w:rPr>
                                <w:rFonts w:ascii="Arial" w:hAnsi="Arial" w:cs="Arial"/>
                                <w:highlight w:val="yellow"/>
                                <w:lang w:val="en-US"/>
                              </w:rPr>
                              <w:fldChar w:fldCharType="separate"/>
                            </w:r>
                            <w:r w:rsidR="009E0BAE" w:rsidRPr="009E0BAE">
                              <w:rPr>
                                <w:rFonts w:ascii="Arial" w:hAnsi="Arial" w:cs="Arial"/>
                                <w:noProof/>
                                <w:highlight w:val="yellow"/>
                                <w:vertAlign w:val="superscript"/>
                                <w:lang w:val="en-US"/>
                              </w:rPr>
                              <w:t>110</w:t>
                            </w:r>
                            <w:r w:rsidRPr="000D27F1">
                              <w:rPr>
                                <w:rFonts w:ascii="Arial" w:hAnsi="Arial" w:cs="Arial"/>
                                <w:highlight w:val="yellow"/>
                                <w:lang w:val="en-US"/>
                              </w:rPr>
                              <w:fldChar w:fldCharType="end"/>
                            </w:r>
                            <w:r w:rsidRPr="003D4C10">
                              <w:rPr>
                                <w:rFonts w:ascii="Arial" w:hAnsi="Arial" w:cs="Arial"/>
                                <w:lang w:val="en-US"/>
                              </w:rPr>
                              <w:t xml:space="preserve"> In Finland reductions in macrolide use led to falls in erythromycin resistance among </w:t>
                            </w:r>
                            <w:r w:rsidRPr="003D4C10">
                              <w:rPr>
                                <w:rFonts w:ascii="Arial" w:hAnsi="Arial" w:cs="Arial"/>
                                <w:i/>
                                <w:lang w:val="en-US"/>
                              </w:rPr>
                              <w:t>S. pyogenes,</w:t>
                            </w:r>
                            <w:r w:rsidRPr="003D4C10">
                              <w:rPr>
                                <w:rFonts w:ascii="Arial" w:hAnsi="Arial" w:cs="Arial"/>
                                <w:lang w:val="en-US"/>
                              </w:rPr>
                              <w:fldChar w:fldCharType="begin" w:fldLock="1"/>
                            </w:r>
                            <w:r w:rsidR="009E0BAE">
                              <w:rPr>
                                <w:rFonts w:ascii="Arial" w:hAnsi="Arial" w:cs="Arial"/>
                                <w:lang w:val="en-US"/>
                              </w:rPr>
                              <w:instrText>ADDIN CSL_CITATION { "citationItems" : [ { "id" : "ITEM-1", "itemData" : { "author" : [ { "dropping-particle" : "", "family" : "Sepp\u00e4l\u00e4", "given" : "Helena", "non-dropping-particle" : "", "parse-names" : false, "suffix" : "" }, { "dropping-particle" : "", "family" : "Klaukka", "given" : "Timo", "non-dropping-particle" : "", "parse-names" : false, "suffix" : "" }, { "dropping-particle" : "", "family" : "Vuopio-Varkila", "given" : "Jaana", "non-dropping-particle" : "", "parse-names" : false, "suffix" : "" }, { "dropping-particle" : "", "family" : "Muotiala", "given" : "Anna", "non-dropping-particle" : "", "parse-names" : false, "suffix" : "" }, { "dropping-particle" : "", "family" : "Helenius", "given" : "Hans", "non-dropping-particle" : "", "parse-names" : false, "suffix" : "" }, { "dropping-particle" : "", "family" : "Lager", "given" : "Katrina", "non-dropping-particle" : "", "parse-names" : false, "suffix" : "" }, { "dropping-particle" : "", "family" : "Huovinen", "given" : "Pentti", "non-dropping-particle" : "", "parse-names" : false, "suffix" : "" }, { "dropping-particle" : "", "family" : "The Finnish Study Grop for Antimicrobial Resistance", "given" : "", "non-dropping-particle" : "", "parse-names" : false, "suffix" : "" } ], "container-title" : "New England Journal of Medicine", "id" : "ITEM-1", "issue" : "7", "issued" : { "date-parts" : [ [ "1997" ] ] }, "page" : "441-446", "title" : "The Effect of Changes in the Consumption of macrolide antibiotics on erythromycin resistance in Group A Streptococci in Finland", "type" : "article-journal", "volume" : "337" }, "uris" : [ "http://www.mendeley.com/documents/?uuid=e5617b87-6cdb-4c96-b2ed-20ee4d180116" ] } ], "mendeley" : { "formattedCitation" : "&lt;sup&gt;111&lt;/sup&gt;", "plainTextFormattedCitation" : "111", "previouslyFormattedCitation" : "&lt;sup&gt;112&lt;/sup&gt;" }, "properties" : { "noteIndex" : 0 }, "schema" : "https://github.com/citation-style-language/schema/raw/master/csl-citation.json" }</w:instrText>
                            </w:r>
                            <w:r w:rsidRPr="003D4C10">
                              <w:rPr>
                                <w:rFonts w:ascii="Arial" w:hAnsi="Arial" w:cs="Arial"/>
                                <w:lang w:val="en-US"/>
                              </w:rPr>
                              <w:fldChar w:fldCharType="separate"/>
                            </w:r>
                            <w:r w:rsidR="009E0BAE" w:rsidRPr="009E0BAE">
                              <w:rPr>
                                <w:rFonts w:ascii="Arial" w:hAnsi="Arial" w:cs="Arial"/>
                                <w:noProof/>
                                <w:vertAlign w:val="superscript"/>
                                <w:lang w:val="en-US"/>
                              </w:rPr>
                              <w:t>111</w:t>
                            </w:r>
                            <w:r w:rsidRPr="003D4C10">
                              <w:rPr>
                                <w:rFonts w:ascii="Arial" w:hAnsi="Arial" w:cs="Arial"/>
                                <w:lang w:val="en-US"/>
                              </w:rPr>
                              <w:fldChar w:fldCharType="end"/>
                            </w:r>
                            <w:r w:rsidRPr="003D4C10">
                              <w:rPr>
                                <w:rFonts w:ascii="Arial" w:hAnsi="Arial" w:cs="Arial"/>
                                <w:lang w:val="en-US"/>
                              </w:rPr>
                              <w:t xml:space="preserve"> although this was possibly due to clonal replacement rather than reduced selection pressure</w:t>
                            </w:r>
                            <w:r w:rsidRPr="000D27F1">
                              <w:rPr>
                                <w:rFonts w:ascii="Arial" w:hAnsi="Arial" w:cs="Arial"/>
                                <w:highlight w:val="yellow"/>
                                <w:lang w:val="en-US"/>
                              </w:rPr>
                              <w:t>.</w:t>
                            </w:r>
                            <w:r w:rsidRPr="003D4C10">
                              <w:rPr>
                                <w:rFonts w:ascii="Arial" w:hAnsi="Arial" w:cs="Arial"/>
                                <w:lang w:val="en-US"/>
                              </w:rPr>
                              <w:t xml:space="preserve"> Correlation has also been seen among Gram-negative organisms. In bloodstream infections in the UK, non-susceptibility to cephalosporins and quinolones among Enterobacteriaceae has shown a modest decline over the last decade, likely reflecting prescribing shifts.</w:t>
                            </w:r>
                            <w:r w:rsidRPr="003D4C10">
                              <w:rPr>
                                <w:rFonts w:ascii="Arial" w:hAnsi="Arial" w:cs="Arial"/>
                                <w:lang w:val="en-US"/>
                              </w:rPr>
                              <w:fldChar w:fldCharType="begin" w:fldLock="1"/>
                            </w:r>
                            <w:r w:rsidR="009E0BAE">
                              <w:rPr>
                                <w:rFonts w:ascii="Arial" w:hAnsi="Arial" w:cs="Arial"/>
                                <w:lang w:val="en-US"/>
                              </w:rPr>
                              <w:instrText>ADDIN CSL_CITATION { "citationItems" : [ { "id" : "ITEM-1", "itemData" : { "DOI" : "10.1093/jac/dkt212", "ISBN" : "2083276264", "ISSN" : "1460-2091", "PMID" : "23766490", "abstract" : "OBJECTIVES: The UK saw major increases in cephalosporin and quinolone resistance amongst Enterobacteriaceae from 2001 to 2006, with cephalosporin resistance largely reflecting dissemination of CTX-M extended-spectrum \u03b2-lactamases (ESBLs). We review subsequent trends. METHODS: Data were extracted from Public Health England's national database (LabBase), which collects susceptibility results for bloodstream isolates from hospital microbiology laboratories in England, Wales and Northern Ireland, and from the BSAC Bacteraemia Resistance Surveillance System, which centrally tests bloodstream isolates from 25-40 sentinel UK and Irish laboratories. Reference laboratory submissions were also reviewed. RESULTS: LabBase and BSAC data showed that rates of non-susceptibility to cephalosporins and quinolones rose amongst Escherichia coli and Klebsiella spp. until mid-decade (2004-07) before plateauing or falling; similar falls in non-susceptibility began slightly earlier in Enterobacter spp. These reversals in trend occurred whilst the incidence of E. coli bacteraemias was rising, the incidence of Klebsiella bacteraemias was stable and the incidence of Enterobacter bacteraemias was falling; they were not paralleled in EARS-Net data for continental Europe and did not reflect the displacement of single mechanisms. They coincided with large reductions in hospital cephalosporin and quinolone use, owing to concern about Clostridium difficile, with replacement by penicillin/\u03b2-lactamase inhibitor combinations, which have borderline activity against ESBL producers, but consistently lack activity against carbapenemase producers. CONCLUSIONS: Non-susceptibility to cephalosporins and quinolones has declined among bloodstream Enterobacteriaceae in the UK, probably reflecting prescribing shifts. The penicillin/\u03b2-lactamase inhibitor combinations that have largely replaced cephalosporins and quinolones may add to selection for carbapenemase producers.", "author" : [ { "dropping-particle" : "", "family" : "Livermore", "given" : "David M", "non-dropping-particle" : "", "parse-names" : false, "suffix" : "" }, { "dropping-particle" : "", "family" : "Hope", "given" : "Russell", "non-dropping-particle" : "", "parse-names" : false, "suffix" : "" }, { "dropping-particle" : "", "family" : "Reynolds", "given" : "Rosy", "non-dropping-particle" : "", "parse-names" : false, "suffix" : "" }, { "dropping-particle" : "", "family" : "Blackburn", "given" : "Ruth", "non-dropping-particle" : "", "parse-names" : false, "suffix" : "" }, { "dropping-particle" : "", "family" : "Johnson", "given" : "Alan P", "non-dropping-particle" : "", "parse-names" : false, "suffix" : "" }, { "dropping-particle" : "", "family" : "Woodford", "given" : "Neil", "non-dropping-particle" : "", "parse-names" : false, "suffix" : "" } ], "container-title" : "Journal of Antimicrobial Chemotherapy", "id" : "ITEM-1", "issue" : "11", "issued" : { "date-parts" : [ [ "2013", "11" ] ] }, "note" : "From Duplicate 2 ( ", "page" : "2667-74", "title" : "Declining cephalosporin and fluoroquinolone non-susceptibility among bloodstream Enterobacteriaceae from the UK: links to prescribing change?", "type" : "article-journal", "volume" : "68" }, "uris" : [ "http://www.mendeley.com/documents/?uuid=dae307d7-ebe3-485c-9ec8-b857b9546c1f" ] } ], "mendeley" : { "formattedCitation" : "&lt;sup&gt;26&lt;/sup&gt;", "plainTextFormattedCitation" : "26", "previouslyFormattedCitation" : "&lt;sup&gt;27&lt;/sup&gt;" }, "properties" : { "noteIndex" : 0 }, "schema" : "https://github.com/citation-style-language/schema/raw/master/csl-citation.json" }</w:instrText>
                            </w:r>
                            <w:r w:rsidRPr="003D4C10">
                              <w:rPr>
                                <w:rFonts w:ascii="Arial" w:hAnsi="Arial" w:cs="Arial"/>
                                <w:lang w:val="en-US"/>
                              </w:rPr>
                              <w:fldChar w:fldCharType="separate"/>
                            </w:r>
                            <w:r w:rsidR="009E0BAE" w:rsidRPr="009E0BAE">
                              <w:rPr>
                                <w:rFonts w:ascii="Arial" w:hAnsi="Arial" w:cs="Arial"/>
                                <w:noProof/>
                                <w:vertAlign w:val="superscript"/>
                                <w:lang w:val="en-US"/>
                              </w:rPr>
                              <w:t>26</w:t>
                            </w:r>
                            <w:r w:rsidRPr="003D4C10">
                              <w:rPr>
                                <w:rFonts w:ascii="Arial" w:hAnsi="Arial" w:cs="Arial"/>
                                <w:lang w:val="en-US"/>
                              </w:rPr>
                              <w:fldChar w:fldCharType="end"/>
                            </w:r>
                            <w:r w:rsidRPr="003D4C10">
                              <w:rPr>
                                <w:rFonts w:ascii="Arial" w:hAnsi="Arial" w:cs="Arial"/>
                                <w:lang w:val="en-US"/>
                              </w:rPr>
                              <w:t xml:space="preserve"> However, the relative contribution of reductions in antimicrobial use and concomitant infection control interventions is difficult to quantify.</w:t>
                            </w:r>
                          </w:p>
                          <w:p w14:paraId="0BA4436B" w14:textId="77777777" w:rsidR="008F211C" w:rsidRPr="003D4C10" w:rsidRDefault="008F211C" w:rsidP="00A053CE">
                            <w:pPr>
                              <w:rPr>
                                <w:rFonts w:ascii="Arial" w:hAnsi="Arial" w:cs="Arial"/>
                                <w:lang w:val="en-US"/>
                              </w:rPr>
                            </w:pPr>
                          </w:p>
                          <w:p w14:paraId="792D65B2" w14:textId="5FBED861" w:rsidR="008F211C" w:rsidRPr="003D4C10" w:rsidRDefault="008F211C" w:rsidP="00A053CE">
                            <w:pPr>
                              <w:rPr>
                                <w:rFonts w:ascii="Arial" w:hAnsi="Arial" w:cs="Arial"/>
                                <w:lang w:val="en-US"/>
                              </w:rPr>
                            </w:pPr>
                            <w:r w:rsidRPr="003D4C10">
                              <w:rPr>
                                <w:rFonts w:ascii="Arial" w:hAnsi="Arial" w:cs="Arial"/>
                                <w:lang w:val="en-US"/>
                              </w:rPr>
                              <w:t xml:space="preserve">In contrast, evidence also exists where reduced antimicrobial use has not equated to falls in AMR. In a prospective trial in Sweden an 85% reduction in trimethoprim consumption resulted in only a marginal slowing of the rise in trimethoprim resistance among </w:t>
                            </w:r>
                            <w:proofErr w:type="spellStart"/>
                            <w:r w:rsidRPr="003D4C10">
                              <w:rPr>
                                <w:rFonts w:ascii="Arial" w:hAnsi="Arial" w:cs="Arial"/>
                                <w:lang w:val="en-US"/>
                              </w:rPr>
                              <w:t>uropathogenic</w:t>
                            </w:r>
                            <w:proofErr w:type="spellEnd"/>
                            <w:r w:rsidRPr="003D4C10">
                              <w:rPr>
                                <w:rFonts w:ascii="Arial" w:hAnsi="Arial" w:cs="Arial"/>
                                <w:lang w:val="en-US"/>
                              </w:rPr>
                              <w:t xml:space="preserve"> </w:t>
                            </w:r>
                            <w:r w:rsidRPr="003D4C10">
                              <w:rPr>
                                <w:rFonts w:ascii="Arial" w:hAnsi="Arial" w:cs="Arial"/>
                                <w:i/>
                                <w:lang w:val="en-US"/>
                              </w:rPr>
                              <w:t>E. coli</w:t>
                            </w:r>
                            <w:r w:rsidRPr="003D4C10">
                              <w:rPr>
                                <w:rFonts w:ascii="Arial" w:hAnsi="Arial" w:cs="Arial"/>
                                <w:lang w:val="en-US"/>
                              </w:rPr>
                              <w:t>.</w:t>
                            </w:r>
                            <w:r w:rsidRPr="003D4C10">
                              <w:rPr>
                                <w:rFonts w:ascii="Arial" w:hAnsi="Arial" w:cs="Arial"/>
                                <w:lang w:val="en-US"/>
                              </w:rPr>
                              <w:fldChar w:fldCharType="begin" w:fldLock="1"/>
                            </w:r>
                            <w:r w:rsidR="009E0BAE">
                              <w:rPr>
                                <w:rFonts w:ascii="Arial" w:hAnsi="Arial" w:cs="Arial"/>
                                <w:lang w:val="en-US"/>
                              </w:rPr>
                              <w:instrText>ADDIN CSL_CITATION { "citationItems" : [ { "id" : "ITEM-1", "itemData" : { "DOI" : "10.1093/jac/dkp387", "ISSN" : "1460-2091", "PMID" : "19900952", "abstract" : "OBJECTIVES: The worldwide rapid increase in antibiotic-resistant bacteria has made efforts to prolong the lifespan of existing antibiotics very important. Antibiotic resistance often confers a fitness cost in the bacterium. Resistance may thus be reversible if antibiotic use is discontinued or reduced. To examine this concept, we performed a 24 month voluntary restriction on the use of trimethoprim-containing drugs in Kronoberg County, Sweden. METHODS: The intervention was performed on a 14 year baseline of monthly data on trimethoprim resistance and consumption. A three-parameter mathematical model was used to analyse the intervention effect. The prerequisites for reversion of resistance (i.e. fitness cost, associated resistance and clonal composition) were studied on subsets of consecutively collected Escherichia coli from urinary tract infections. RESULTS: The use of trimethoprim-containing drugs decreased by 85% during the intervention. A marginal but statistically significant effect on the increase in trimethoprim resistance was registered. There was no change in the clonal composition of E. coli and there was no measurable fitness cost associated with trimethoprim resistance in clinical isolates. The frequency of associated antibiotic resistances in trimethoprim-resistant isolates was high. CONCLUSIONS: A lack of detectable fitness cost of trimethoprim resistance in vitro together with a strong co-selection of other antibiotics could explain the rather disappointing effect of the intervention. The result emphasizes the low possibility of reverting antibiotic resistance once established and the urgent need for the development of new antibacterial agents.", "author" : [ { "dropping-particle" : "", "family" : "Sundqvist", "given" : "M", "non-dropping-particle" : "", "parse-names" : false, "suffix" : "" }, { "dropping-particle" : "", "family" : "Geli", "given" : "P", "non-dropping-particle" : "", "parse-names" : false, "suffix" : "" }, { "dropping-particle" : "", "family" : "Andersson", "given" : "D I", "non-dropping-particle" : "", "parse-names" : false, "suffix" : "" }, { "dropping-particle" : "", "family" : "Sj\u00f6lund-Karlsson", "given" : "M", "non-dropping-particle" : "", "parse-names" : false, "suffix" : "" }, { "dropping-particle" : "", "family" : "Runehagen", "given" : "A", "non-dropping-particle" : "", "parse-names" : false, "suffix" : "" }, { "dropping-particle" : "", "family" : "Cars", "given" : "H", "non-dropping-particle" : "", "parse-names" : false, "suffix" : "" }, { "dropping-particle" : "", "family" : "Abelson-Storby", "given" : "K", "non-dropping-particle" : "", "parse-names" : false, "suffix" : "" }, { "dropping-particle" : "", "family" : "Cars", "given" : "O", "non-dropping-particle" : "", "parse-names" : false, "suffix" : "" }, { "dropping-particle" : "", "family" : "Kahlmeter", "given" : "G", "non-dropping-particle" : "", "parse-names" : false, "suffix" : "" } ], "container-title" : "Journal of Antimicrobial Chemotherapy", "id" : "ITEM-1", "issue" : "2", "issued" : { "date-parts" : [ [ "2010", "2" ] ] }, "page" : "350-60", "title" : "Little evidence for reversibility of trimethoprim resistance after a drastic reduction in trimethoprim use.", "type" : "article-journal", "volume" : "65" }, "uris" : [ "http://www.mendeley.com/documents/?uuid=56bc4642-45e4-4bc2-a296-0372b27bba5b" ] } ], "mendeley" : { "formattedCitation" : "&lt;sup&gt;112&lt;/sup&gt;", "plainTextFormattedCitation" : "112", "previouslyFormattedCitation" : "&lt;sup&gt;113&lt;/sup&gt;" }, "properties" : { "noteIndex" : 0 }, "schema" : "https://github.com/citation-style-language/schema/raw/master/csl-citation.json" }</w:instrText>
                            </w:r>
                            <w:r w:rsidRPr="003D4C10">
                              <w:rPr>
                                <w:rFonts w:ascii="Arial" w:hAnsi="Arial" w:cs="Arial"/>
                                <w:lang w:val="en-US"/>
                              </w:rPr>
                              <w:fldChar w:fldCharType="separate"/>
                            </w:r>
                            <w:r w:rsidR="009E0BAE" w:rsidRPr="009E0BAE">
                              <w:rPr>
                                <w:rFonts w:ascii="Arial" w:hAnsi="Arial" w:cs="Arial"/>
                                <w:noProof/>
                                <w:vertAlign w:val="superscript"/>
                                <w:lang w:val="en-US"/>
                              </w:rPr>
                              <w:t>112</w:t>
                            </w:r>
                            <w:r w:rsidRPr="003D4C10">
                              <w:rPr>
                                <w:rFonts w:ascii="Arial" w:hAnsi="Arial" w:cs="Arial"/>
                                <w:lang w:val="en-US"/>
                              </w:rPr>
                              <w:fldChar w:fldCharType="end"/>
                            </w:r>
                            <w:r w:rsidRPr="003D4C10">
                              <w:rPr>
                                <w:rFonts w:ascii="Arial" w:hAnsi="Arial" w:cs="Arial"/>
                                <w:lang w:val="en-US"/>
                              </w:rPr>
                              <w:t xml:space="preserve"> In the UK, a 98% decrease in </w:t>
                            </w:r>
                            <w:proofErr w:type="spellStart"/>
                            <w:r w:rsidRPr="003D4C10">
                              <w:rPr>
                                <w:rFonts w:ascii="Arial" w:hAnsi="Arial" w:cs="Arial"/>
                                <w:lang w:val="en-US"/>
                              </w:rPr>
                              <w:t>cotrimoxazole</w:t>
                            </w:r>
                            <w:proofErr w:type="spellEnd"/>
                            <w:r w:rsidRPr="003D4C10">
                              <w:rPr>
                                <w:rFonts w:ascii="Arial" w:hAnsi="Arial" w:cs="Arial"/>
                                <w:lang w:val="en-US"/>
                              </w:rPr>
                              <w:t xml:space="preserve"> consumption did not result in AMR reduction, instead inexplicably was followed by a 6% increase in </w:t>
                            </w:r>
                            <w:proofErr w:type="spellStart"/>
                            <w:r w:rsidRPr="003D4C10">
                              <w:rPr>
                                <w:rFonts w:ascii="Arial" w:hAnsi="Arial" w:cs="Arial"/>
                                <w:lang w:val="en-US"/>
                              </w:rPr>
                              <w:t>sulphonamide</w:t>
                            </w:r>
                            <w:proofErr w:type="spellEnd"/>
                            <w:r w:rsidRPr="003D4C10">
                              <w:rPr>
                                <w:rFonts w:ascii="Arial" w:hAnsi="Arial" w:cs="Arial"/>
                                <w:lang w:val="en-US"/>
                              </w:rPr>
                              <w:t xml:space="preserve"> resistance in clinical isolates of </w:t>
                            </w:r>
                            <w:r w:rsidRPr="003D4C10">
                              <w:rPr>
                                <w:rFonts w:ascii="Arial" w:hAnsi="Arial" w:cs="Arial"/>
                                <w:i/>
                                <w:lang w:val="en-US"/>
                              </w:rPr>
                              <w:t>E. coli</w:t>
                            </w:r>
                            <w:r w:rsidRPr="003D4C10">
                              <w:rPr>
                                <w:rFonts w:ascii="Arial" w:hAnsi="Arial" w:cs="Arial"/>
                                <w:lang w:val="en-US"/>
                              </w:rPr>
                              <w:t>.</w:t>
                            </w:r>
                            <w:r w:rsidRPr="003D4C10">
                              <w:rPr>
                                <w:rFonts w:ascii="Arial" w:hAnsi="Arial" w:cs="Arial"/>
                                <w:lang w:val="en-US"/>
                              </w:rPr>
                              <w:fldChar w:fldCharType="begin" w:fldLock="1"/>
                            </w:r>
                            <w:r w:rsidR="009E0BAE">
                              <w:rPr>
                                <w:rFonts w:ascii="Arial" w:hAnsi="Arial" w:cs="Arial"/>
                                <w:lang w:val="en-US"/>
                              </w:rPr>
                              <w:instrText>ADDIN CSL_CITATION { "citationItems" : [ { "id" : "ITEM-1", "itemData" : { "DOI" : "10.1016/S0140-6736(00)04519-0", "ISSN" : "0140-6736", "PMID" : "11343738", "abstract" : "BACKGROUND: There is a clear association between heavy antimicrobial consumption within a population and the frequent recovery of resistant bacteria, but whether a reduction in antimicrobial use can reverse this process is less clear. We investigated the effect of a national restriction of sulphonamide prescribing in the UK on the prevalence of sulphonamide resistance in Escherichia coli.\n\nMETHODS: Consecutive clinical isolates of E coli were collected at the Royal London Hospital in 1991 and 1999. These collections, each of more than 350 isolates, were compared. Minimum inhibitory concentrations of sulphamethoxazole and eight other antimicrobials were determined. The presence and locations of sulphonamide-resistance genes were examined by PCR, plasmid extraction, Southern hybridisation, and transconjugation.\n\nFINDINGS: Despite a huge decrease in sulphonamide prescriptions (from 3,208,000 [corrected] prescriptions per year in 1991 to 77,000 [corrected] in 1999), the frequency of resistance remained high in 1999 (165/359 [46.0%] vs 143/360 [39.7%] in 1991; difference 6.2% [95% CI 20.9 to 13.3]). Integron-borne sulI was present in 16.4% of isolates in 1991 and 17.5% in 1999. The prevalence of sulII increased from 26.7% in 1991 to 36.5% in 1999 (difference 9.8% [3.1 to 16.5] p=0.0046). SulII was located on large plasmids, at least some of which were conjugative multiresistance determinants.\n\nINTERPRETATION: These results show that a huge decrease in antibiotic prescribing does not necessarily reduce resistance within a useful time. The main reason seems to be the genetic linkage of the index resistance to other resistance determinants.", "author" : [ { "dropping-particle" : "", "family" : "Enne", "given" : "V I", "non-dropping-particle" : "", "parse-names" : false, "suffix" : "" }, { "dropping-particle" : "", "family" : "Livermore", "given" : "D M", "non-dropping-particle" : "", "parse-names" : false, "suffix" : "" }, { "dropping-particle" : "", "family" : "Stephens", "given" : "P", "non-dropping-particle" : "", "parse-names" : false, "suffix" : "" }, { "dropping-particle" : "", "family" : "Hall", "given" : "L M", "non-dropping-particle" : "", "parse-names" : false, "suffix" : "" } ], "container-title" : "Lancet", "id" : "ITEM-1", "issue" : "9265", "issued" : { "date-parts" : [ [ "2001", "4", "28" ] ] }, "page" : "1325-8", "title" : "Persistence of sulphonamide resistance in Escherichia coli in the UK despite national prescribing restriction.", "type" : "article-journal", "volume" : "357" }, "uris" : [ "http://www.mendeley.com/documents/?uuid=7d6bdd12-461a-401f-ab8f-7e37658206bb" ] } ], "mendeley" : { "formattedCitation" : "&lt;sup&gt;113&lt;/sup&gt;", "plainTextFormattedCitation" : "113", "previouslyFormattedCitation" : "&lt;sup&gt;114&lt;/sup&gt;" }, "properties" : { "noteIndex" : 0 }, "schema" : "https://github.com/citation-style-language/schema/raw/master/csl-citation.json" }</w:instrText>
                            </w:r>
                            <w:r w:rsidRPr="003D4C10">
                              <w:rPr>
                                <w:rFonts w:ascii="Arial" w:hAnsi="Arial" w:cs="Arial"/>
                                <w:lang w:val="en-US"/>
                              </w:rPr>
                              <w:fldChar w:fldCharType="separate"/>
                            </w:r>
                            <w:r w:rsidR="009E0BAE" w:rsidRPr="009E0BAE">
                              <w:rPr>
                                <w:rFonts w:ascii="Arial" w:hAnsi="Arial" w:cs="Arial"/>
                                <w:noProof/>
                                <w:vertAlign w:val="superscript"/>
                                <w:lang w:val="en-US"/>
                              </w:rPr>
                              <w:t>113</w:t>
                            </w:r>
                            <w:r w:rsidRPr="003D4C10">
                              <w:rPr>
                                <w:rFonts w:ascii="Arial" w:hAnsi="Arial" w:cs="Arial"/>
                                <w:lang w:val="en-US"/>
                              </w:rPr>
                              <w:fldChar w:fldCharType="end"/>
                            </w:r>
                            <w:r w:rsidRPr="003D4C10">
                              <w:rPr>
                                <w:rFonts w:ascii="Arial" w:hAnsi="Arial" w:cs="Arial"/>
                                <w:lang w:val="en-US"/>
                              </w:rPr>
                              <w:t xml:space="preserve"> </w:t>
                            </w:r>
                          </w:p>
                          <w:p w14:paraId="6A1ECFC7" w14:textId="77777777" w:rsidR="008F211C" w:rsidRPr="003D4C10" w:rsidRDefault="008F211C" w:rsidP="00A053CE">
                            <w:pPr>
                              <w:rPr>
                                <w:rFonts w:ascii="Arial" w:hAnsi="Arial" w:cs="Arial"/>
                                <w:lang w:val="en-US"/>
                              </w:rPr>
                            </w:pPr>
                          </w:p>
                          <w:p w14:paraId="3D4182AC" w14:textId="008CEDA3" w:rsidR="008F211C" w:rsidRPr="003D4C10" w:rsidRDefault="008F211C" w:rsidP="00A053CE">
                            <w:pPr>
                              <w:rPr>
                                <w:rFonts w:ascii="Arial" w:hAnsi="Arial" w:cs="Arial"/>
                                <w:lang w:val="en-US"/>
                              </w:rPr>
                            </w:pPr>
                            <w:r w:rsidRPr="003D4C10">
                              <w:rPr>
                                <w:rFonts w:ascii="Arial" w:hAnsi="Arial" w:cs="Arial"/>
                                <w:lang w:val="en-US"/>
                              </w:rPr>
                              <w:t xml:space="preserve">This lack of clear correlation between reduced use of </w:t>
                            </w:r>
                            <w:r w:rsidRPr="003D4C10">
                              <w:rPr>
                                <w:rFonts w:ascii="Arial" w:hAnsi="Arial" w:cs="Arial"/>
                              </w:rPr>
                              <w:t>antimicrobial</w:t>
                            </w:r>
                            <w:r w:rsidRPr="003D4C10">
                              <w:rPr>
                                <w:rFonts w:ascii="Arial" w:hAnsi="Arial" w:cs="Arial"/>
                                <w:lang w:val="en-US"/>
                              </w:rPr>
                              <w:t>s and decreased AMR urgently necessitates a greater understanding to enable the design of effective interventions.</w:t>
                            </w:r>
                          </w:p>
                          <w:p w14:paraId="153EDEAC" w14:textId="3F089075" w:rsidR="008F211C" w:rsidRPr="004E400F" w:rsidRDefault="008F211C" w:rsidP="00A053CE">
                            <w:pPr>
                              <w:rPr>
                                <w:sz w:val="19"/>
                                <w:szCs w:val="19"/>
                              </w:rPr>
                            </w:pPr>
                          </w:p>
                          <w:p w14:paraId="27F12C53" w14:textId="77777777" w:rsidR="008F211C" w:rsidRPr="004E400F" w:rsidRDefault="008F211C" w:rsidP="006D200F">
                            <w:pPr>
                              <w:rPr>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4.05pt;width:324.8pt;height:39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">
                <v:textbox>
                  <w:txbxContent>
                    <w:p w14:paraId="14B6A0BF" w14:textId="77777777" w:rsidR="008F211C" w:rsidRPr="003D4C10" w:rsidRDefault="008F211C" w:rsidP="00A053CE">
                      <w:pPr>
                        <w:rPr>
                          <w:rFonts w:ascii="Arial" w:hAnsi="Arial" w:cs="Arial"/>
                          <w:b/>
                          <w:u w:val="single"/>
                          <w:lang w:val="en-US"/>
                        </w:rPr>
                      </w:pPr>
                      <w:r w:rsidRPr="003D4C10">
                        <w:rPr>
                          <w:rFonts w:ascii="Arial" w:hAnsi="Arial" w:cs="Arial"/>
                          <w:b/>
                          <w:u w:val="single"/>
                          <w:lang w:val="en-US"/>
                        </w:rPr>
                        <w:t>Human Health:</w:t>
                      </w:r>
                    </w:p>
                    <w:p w14:paraId="7A13391E" w14:textId="2B16E644" w:rsidR="008F211C" w:rsidRPr="003D4C10" w:rsidRDefault="008F211C" w:rsidP="00A053CE">
                      <w:pPr>
                        <w:rPr>
                          <w:rFonts w:ascii="Arial" w:hAnsi="Arial" w:cs="Arial"/>
                          <w:lang w:val="en-US"/>
                        </w:rPr>
                      </w:pPr>
                      <w:r w:rsidRPr="003D4C10">
                        <w:rPr>
                          <w:rFonts w:ascii="Arial" w:hAnsi="Arial" w:cs="Arial"/>
                          <w:lang w:val="en-US"/>
                        </w:rPr>
                        <w:t xml:space="preserve">Evidence of correlation between reducing antimicrobial use and falls in AMR is complex, yet among Gram-positive organisms success have been seen. In a French prospective trial a reduction in </w:t>
                      </w:r>
                      <w:r w:rsidRPr="003D4C10">
                        <w:rPr>
                          <w:rFonts w:ascii="Arial" w:hAnsi="Arial" w:cs="Arial"/>
                        </w:rPr>
                        <w:t>antimicrobial</w:t>
                      </w:r>
                      <w:r w:rsidRPr="003D4C10">
                        <w:rPr>
                          <w:rFonts w:ascii="Arial" w:hAnsi="Arial" w:cs="Arial"/>
                          <w:lang w:val="en-US"/>
                        </w:rPr>
                        <w:t xml:space="preserve"> use corresponded to significantly decreased pharyngeal colonization penicillin-non-susceptible </w:t>
                      </w:r>
                      <w:r>
                        <w:rPr>
                          <w:rFonts w:ascii="Arial" w:hAnsi="Arial" w:cs="Arial"/>
                          <w:i/>
                          <w:lang w:val="en-US"/>
                        </w:rPr>
                        <w:t>S. pneumonia</w:t>
                      </w:r>
                      <w:r w:rsidRPr="000D27F1">
                        <w:rPr>
                          <w:rFonts w:ascii="Arial" w:hAnsi="Arial" w:cs="Arial"/>
                          <w:i/>
                          <w:highlight w:val="yellow"/>
                          <w:lang w:val="en-US"/>
                        </w:rPr>
                        <w:t>.</w:t>
                      </w:r>
                      <w:r w:rsidRPr="000D27F1">
                        <w:rPr>
                          <w:rFonts w:ascii="Arial" w:hAnsi="Arial" w:cs="Arial"/>
                          <w:highlight w:val="yellow"/>
                          <w:lang w:val="en-US"/>
                        </w:rPr>
                        <w:fldChar w:fldCharType="begin" w:fldLock="1"/>
                      </w:r>
                      <w:r w:rsidR="009E0BAE">
                        <w:rPr>
                          <w:rFonts w:ascii="Arial" w:hAnsi="Arial" w:cs="Arial"/>
                          <w:highlight w:val="yellow"/>
                          <w:lang w:val="en-US"/>
                        </w:rPr>
                        <w:instrText>ADDIN CSL_CITATION { "citationItems" : [ { "id" : "ITEM-1", "itemData" : { "DOI" : "10.1086/432721", "ISSN" : "1537-6591", "PMID" : "16142656", "abstract" : "BACKGROUND: There is a lack of evidence documenting the impact of optimized antibiotic use on the rates of colonization with penicillin G-nonsusceptible Streptococcus pneumoniae (PNSP) in children. This study evaluates the effect of community-based intervention strategies on the prevalence of pnsp colonization. METHODS: A controlled, population-based pharmacoepidemiological trial was conducted from January through May 2000. Three French geographic areas were selected on the basis of demographic similarities. Two intervention strategies were implemented: (1) reduced antibiotic use, which was achieved by not prescribing antibiotics for presumed viral respiratory tract infections (the prescription-reduction group); and (2) better adaptation of dose and duration (the dose/duration group). A control group received no intervention. The target population was children aged 3-6 years who were attending kindergarten. Oropharyngeal pneumococcus colonization and antibiotic use were monitored throughout the 5-month study. RESULTS: The prescription-reduction, dose/duration, and control groups included 601, 483, and 405 children, respectively. The interventions induced significantly larger decreases in antibiotic use in the prescription-reduction group (-18.8%) and dose/duration group (-17.1%) than in the control group (-3.8%), and the rates of PNSP colonization were initially similar for the 3 groups (52.5%, 55.1%, and 50.0%, respectively). At the end of the 5-month study, the rates of PNSP colonization were 34.5% for the prescription-reduction group (P=.05) and 44.3% for the dose/duration group (P=.8), compared with 46.2% for the control group. CONCLUSIONS: Intensive educational strategies aimed at optimizing antibiotic use can significantly reduce the rate of PNSP colonization in areas with high resistance rates.", "author" : [ { "dropping-particle" : "", "family" : "Guillemot", "given" : "Didier", "non-dropping-particle" : "", "parse-names" : false, "suffix" : "" }, { "dropping-particle" : "", "family" : "Varon", "given" : "Emmanuelle", "non-dropping-particle" : "", "parse-names" : false, "suffix" : "" }, { "dropping-particle" : "", "family" : "Bern\u00e8de", "given" : "Claire", "non-dropping-particle" : "", "parse-names" : false, "suffix" : "" }, { "dropping-particle" : "", "family" : "Weber", "given" : "Philippe", "non-dropping-particle" : "", "parse-names" : false, "suffix" : "" }, { "dropping-particle" : "", "family" : "Henriet", "given" : "Laurence", "non-dropping-particle" : "", "parse-names" : false, "suffix" : "" }, { "dropping-particle" : "", "family" : "Simon", "given" : "Sylvie", "non-dropping-particle" : "", "parse-names" : false, "suffix" : "" }, { "dropping-particle" : "", "family" : "Laurent", "given" : "C\u00e9cile", "non-dropping-particle" : "", "parse-names" : false, "suffix" : "" }, { "dropping-particle" : "", "family" : "Lecoeur", "given" : "Herv\u00e9", "non-dropping-particle" : "", "parse-names" : false, "suffix" : "" }, { "dropping-particle" : "", "family" : "Carbon", "given" : "Claude", "non-dropping-particle" : "", "parse-names" : false, "suffix" : "" } ], "container-title" : "Clinical Infectious Diseases", "id" : "ITEM-1", "issue" : "7", "issued" : { "date-parts" : [ [ "2005", "10", "1" ] ] }, "page" : "930-8", "title" : "Reduction of antibiotic use in the community reduces the rate of colonization with penicillin G-nonsusceptible Streptococcus pneumoniae.", "type" : "article-journal", "volume" : "41" }, "uris" : [ "http://www.mendeley.com/documents/?uuid=d65f5e7e-6ea3-4b53-ba5a-00bba9bd6394" ] } ], "mendeley" : { "formattedCitation" : "&lt;sup&gt;110&lt;/sup&gt;", "plainTextFormattedCitation" : "110", "previouslyFormattedCitation" : "&lt;sup&gt;111&lt;/sup&gt;" }, "properties" : { "noteIndex" : 0 }, "schema" : "https://github.com/citation-style-language/schema/raw/master/csl-citation.json" }</w:instrText>
                      </w:r>
                      <w:r w:rsidRPr="000D27F1">
                        <w:rPr>
                          <w:rFonts w:ascii="Arial" w:hAnsi="Arial" w:cs="Arial"/>
                          <w:highlight w:val="yellow"/>
                          <w:lang w:val="en-US"/>
                        </w:rPr>
                        <w:fldChar w:fldCharType="separate"/>
                      </w:r>
                      <w:r w:rsidR="009E0BAE" w:rsidRPr="009E0BAE">
                        <w:rPr>
                          <w:rFonts w:ascii="Arial" w:hAnsi="Arial" w:cs="Arial"/>
                          <w:noProof/>
                          <w:highlight w:val="yellow"/>
                          <w:vertAlign w:val="superscript"/>
                          <w:lang w:val="en-US"/>
                        </w:rPr>
                        <w:t>110</w:t>
                      </w:r>
                      <w:r w:rsidRPr="000D27F1">
                        <w:rPr>
                          <w:rFonts w:ascii="Arial" w:hAnsi="Arial" w:cs="Arial"/>
                          <w:highlight w:val="yellow"/>
                          <w:lang w:val="en-US"/>
                        </w:rPr>
                        <w:fldChar w:fldCharType="end"/>
                      </w:r>
                      <w:r w:rsidRPr="003D4C10">
                        <w:rPr>
                          <w:rFonts w:ascii="Arial" w:hAnsi="Arial" w:cs="Arial"/>
                          <w:lang w:val="en-US"/>
                        </w:rPr>
                        <w:t xml:space="preserve"> In Finland reductions in macrolide use led to falls in erythromycin resistance among </w:t>
                      </w:r>
                      <w:r w:rsidRPr="003D4C10">
                        <w:rPr>
                          <w:rFonts w:ascii="Arial" w:hAnsi="Arial" w:cs="Arial"/>
                          <w:i/>
                          <w:lang w:val="en-US"/>
                        </w:rPr>
                        <w:t>S. pyogenes,</w:t>
                      </w:r>
                      <w:r w:rsidRPr="003D4C10">
                        <w:rPr>
                          <w:rFonts w:ascii="Arial" w:hAnsi="Arial" w:cs="Arial"/>
                          <w:lang w:val="en-US"/>
                        </w:rPr>
                        <w:fldChar w:fldCharType="begin" w:fldLock="1"/>
                      </w:r>
                      <w:r w:rsidR="009E0BAE">
                        <w:rPr>
                          <w:rFonts w:ascii="Arial" w:hAnsi="Arial" w:cs="Arial"/>
                          <w:lang w:val="en-US"/>
                        </w:rPr>
                        <w:instrText>ADDIN CSL_CITATION { "citationItems" : [ { "id" : "ITEM-1", "itemData" : { "author" : [ { "dropping-particle" : "", "family" : "Sepp\u00e4l\u00e4", "given" : "Helena", "non-dropping-particle" : "", "parse-names" : false, "suffix" : "" }, { "dropping-particle" : "", "family" : "Klaukka", "given" : "Timo", "non-dropping-particle" : "", "parse-names" : false, "suffix" : "" }, { "dropping-particle" : "", "family" : "Vuopio-Varkila", "given" : "Jaana", "non-dropping-particle" : "", "parse-names" : false, "suffix" : "" }, { "dropping-particle" : "", "family" : "Muotiala", "given" : "Anna", "non-dropping-particle" : "", "parse-names" : false, "suffix" : "" }, { "dropping-particle" : "", "family" : "Helenius", "given" : "Hans", "non-dropping-particle" : "", "parse-names" : false, "suffix" : "" }, { "dropping-particle" : "", "family" : "Lager", "given" : "Katrina", "non-dropping-particle" : "", "parse-names" : false, "suffix" : "" }, { "dropping-particle" : "", "family" : "Huovinen", "given" : "Pentti", "non-dropping-particle" : "", "parse-names" : false, "suffix" : "" }, { "dropping-particle" : "", "family" : "The Finnish Study Grop for Antimicrobial Resistance", "given" : "", "non-dropping-particle" : "", "parse-names" : false, "suffix" : "" } ], "container-title" : "New England Journal of Medicine", "id" : "ITEM-1", "issue" : "7", "issued" : { "date-parts" : [ [ "1997" ] ] }, "page" : "441-446", "title" : "The Effect of Changes in the Consumption of macrolide antibiotics on erythromycin resistance in Group A Streptococci in Finland", "type" : "article-journal", "volume" : "337" }, "uris" : [ "http://www.mendeley.com/documents/?uuid=e5617b87-6cdb-4c96-b2ed-20ee4d180116" ] } ], "mendeley" : { "formattedCitation" : "&lt;sup&gt;111&lt;/sup&gt;", "plainTextFormattedCitation" : "111", "previouslyFormattedCitation" : "&lt;sup&gt;112&lt;/sup&gt;" }, "properties" : { "noteIndex" : 0 }, "schema" : "https://github.com/citation-style-language/schema/raw/master/csl-citation.json" }</w:instrText>
                      </w:r>
                      <w:r w:rsidRPr="003D4C10">
                        <w:rPr>
                          <w:rFonts w:ascii="Arial" w:hAnsi="Arial" w:cs="Arial"/>
                          <w:lang w:val="en-US"/>
                        </w:rPr>
                        <w:fldChar w:fldCharType="separate"/>
                      </w:r>
                      <w:r w:rsidR="009E0BAE" w:rsidRPr="009E0BAE">
                        <w:rPr>
                          <w:rFonts w:ascii="Arial" w:hAnsi="Arial" w:cs="Arial"/>
                          <w:noProof/>
                          <w:vertAlign w:val="superscript"/>
                          <w:lang w:val="en-US"/>
                        </w:rPr>
                        <w:t>111</w:t>
                      </w:r>
                      <w:r w:rsidRPr="003D4C10">
                        <w:rPr>
                          <w:rFonts w:ascii="Arial" w:hAnsi="Arial" w:cs="Arial"/>
                          <w:lang w:val="en-US"/>
                        </w:rPr>
                        <w:fldChar w:fldCharType="end"/>
                      </w:r>
                      <w:r w:rsidRPr="003D4C10">
                        <w:rPr>
                          <w:rFonts w:ascii="Arial" w:hAnsi="Arial" w:cs="Arial"/>
                          <w:lang w:val="en-US"/>
                        </w:rPr>
                        <w:t xml:space="preserve"> although this was possibly due to clonal replacement rather than reduced selection pressure</w:t>
                      </w:r>
                      <w:r w:rsidRPr="000D27F1">
                        <w:rPr>
                          <w:rFonts w:ascii="Arial" w:hAnsi="Arial" w:cs="Arial"/>
                          <w:highlight w:val="yellow"/>
                          <w:lang w:val="en-US"/>
                        </w:rPr>
                        <w:t>.</w:t>
                      </w:r>
                      <w:r w:rsidRPr="003D4C10">
                        <w:rPr>
                          <w:rFonts w:ascii="Arial" w:hAnsi="Arial" w:cs="Arial"/>
                          <w:lang w:val="en-US"/>
                        </w:rPr>
                        <w:t xml:space="preserve"> Correlation has also been seen among Gram-negative organisms. In bloodstream infections in the UK, non-susceptibility to cephalosporins and quinolones among Enterobacteriaceae has shown a modest decline over the last decade, likely reflecting prescribing shifts.</w:t>
                      </w:r>
                      <w:r w:rsidRPr="003D4C10">
                        <w:rPr>
                          <w:rFonts w:ascii="Arial" w:hAnsi="Arial" w:cs="Arial"/>
                          <w:lang w:val="en-US"/>
                        </w:rPr>
                        <w:fldChar w:fldCharType="begin" w:fldLock="1"/>
                      </w:r>
                      <w:r w:rsidR="009E0BAE">
                        <w:rPr>
                          <w:rFonts w:ascii="Arial" w:hAnsi="Arial" w:cs="Arial"/>
                          <w:lang w:val="en-US"/>
                        </w:rPr>
                        <w:instrText>ADDIN CSL_CITATION { "citationItems" : [ { "id" : "ITEM-1", "itemData" : { "DOI" : "10.1093/jac/dkt212", "ISBN" : "2083276264", "ISSN" : "1460-2091", "PMID" : "23766490", "abstract" : "OBJECTIVES: The UK saw major increases in cephalosporin and quinolone resistance amongst Enterobacteriaceae from 2001 to 2006, with cephalosporin resistance largely reflecting dissemination of CTX-M extended-spectrum \u03b2-lactamases (ESBLs). We review subsequent trends. METHODS: Data were extracted from Public Health England's national database (LabBase), which collects susceptibility results for bloodstream isolates from hospital microbiology laboratories in England, Wales and Northern Ireland, and from the BSAC Bacteraemia Resistance Surveillance System, which centrally tests bloodstream isolates from 25-40 sentinel UK and Irish laboratories. Reference laboratory submissions were also reviewed. RESULTS: LabBase and BSAC data showed that rates of non-susceptibility to cephalosporins and quinolones rose amongst Escherichia coli and Klebsiella spp. until mid-decade (2004-07) before plateauing or falling; similar falls in non-susceptibility began slightly earlier in Enterobacter spp. These reversals in trend occurred whilst the incidence of E. coli bacteraemias was rising, the incidence of Klebsiella bacteraemias was stable and the incidence of Enterobacter bacteraemias was falling; they were not paralleled in EARS-Net data for continental Europe and did not reflect the displacement of single mechanisms. They coincided with large reductions in hospital cephalosporin and quinolone use, owing to concern about Clostridium difficile, with replacement by penicillin/\u03b2-lactamase inhibitor combinations, which have borderline activity against ESBL producers, but consistently lack activity against carbapenemase producers. CONCLUSIONS: Non-susceptibility to cephalosporins and quinolones has declined among bloodstream Enterobacteriaceae in the UK, probably reflecting prescribing shifts. The penicillin/\u03b2-lactamase inhibitor combinations that have largely replaced cephalosporins and quinolones may add to selection for carbapenemase producers.", "author" : [ { "dropping-particle" : "", "family" : "Livermore", "given" : "David M", "non-dropping-particle" : "", "parse-names" : false, "suffix" : "" }, { "dropping-particle" : "", "family" : "Hope", "given" : "Russell", "non-dropping-particle" : "", "parse-names" : false, "suffix" : "" }, { "dropping-particle" : "", "family" : "Reynolds", "given" : "Rosy", "non-dropping-particle" : "", "parse-names" : false, "suffix" : "" }, { "dropping-particle" : "", "family" : "Blackburn", "given" : "Ruth", "non-dropping-particle" : "", "parse-names" : false, "suffix" : "" }, { "dropping-particle" : "", "family" : "Johnson", "given" : "Alan P", "non-dropping-particle" : "", "parse-names" : false, "suffix" : "" }, { "dropping-particle" : "", "family" : "Woodford", "given" : "Neil", "non-dropping-particle" : "", "parse-names" : false, "suffix" : "" } ], "container-title" : "Journal of Antimicrobial Chemotherapy", "id" : "ITEM-1", "issue" : "11", "issued" : { "date-parts" : [ [ "2013", "11" ] ] }, "note" : "From Duplicate 2 ( ", "page" : "2667-74", "title" : "Declining cephalosporin and fluoroquinolone non-susceptibility among bloodstream Enterobacteriaceae from the UK: links to prescribing change?", "type" : "article-journal", "volume" : "68" }, "uris" : [ "http://www.mendeley.com/documents/?uuid=dae307d7-ebe3-485c-9ec8-b857b9546c1f" ] } ], "mendeley" : { "formattedCitation" : "&lt;sup&gt;26&lt;/sup&gt;", "plainTextFormattedCitation" : "26", "previouslyFormattedCitation" : "&lt;sup&gt;27&lt;/sup&gt;" }, "properties" : { "noteIndex" : 0 }, "schema" : "https://github.com/citation-style-language/schema/raw/master/csl-citation.json" }</w:instrText>
                      </w:r>
                      <w:r w:rsidRPr="003D4C10">
                        <w:rPr>
                          <w:rFonts w:ascii="Arial" w:hAnsi="Arial" w:cs="Arial"/>
                          <w:lang w:val="en-US"/>
                        </w:rPr>
                        <w:fldChar w:fldCharType="separate"/>
                      </w:r>
                      <w:r w:rsidR="009E0BAE" w:rsidRPr="009E0BAE">
                        <w:rPr>
                          <w:rFonts w:ascii="Arial" w:hAnsi="Arial" w:cs="Arial"/>
                          <w:noProof/>
                          <w:vertAlign w:val="superscript"/>
                          <w:lang w:val="en-US"/>
                        </w:rPr>
                        <w:t>26</w:t>
                      </w:r>
                      <w:r w:rsidRPr="003D4C10">
                        <w:rPr>
                          <w:rFonts w:ascii="Arial" w:hAnsi="Arial" w:cs="Arial"/>
                          <w:lang w:val="en-US"/>
                        </w:rPr>
                        <w:fldChar w:fldCharType="end"/>
                      </w:r>
                      <w:r w:rsidRPr="003D4C10">
                        <w:rPr>
                          <w:rFonts w:ascii="Arial" w:hAnsi="Arial" w:cs="Arial"/>
                          <w:lang w:val="en-US"/>
                        </w:rPr>
                        <w:t xml:space="preserve"> However, the relative contribution of reductions in antimicrobial use and concomitant infection control interventions is difficult to quantify.</w:t>
                      </w:r>
                    </w:p>
                    <w:p w14:paraId="0BA4436B" w14:textId="77777777" w:rsidR="008F211C" w:rsidRPr="003D4C10" w:rsidRDefault="008F211C" w:rsidP="00A053CE">
                      <w:pPr>
                        <w:rPr>
                          <w:rFonts w:ascii="Arial" w:hAnsi="Arial" w:cs="Arial"/>
                          <w:lang w:val="en-US"/>
                        </w:rPr>
                      </w:pPr>
                    </w:p>
                    <w:p w14:paraId="792D65B2" w14:textId="5FBED861" w:rsidR="008F211C" w:rsidRPr="003D4C10" w:rsidRDefault="008F211C" w:rsidP="00A053CE">
                      <w:pPr>
                        <w:rPr>
                          <w:rFonts w:ascii="Arial" w:hAnsi="Arial" w:cs="Arial"/>
                          <w:lang w:val="en-US"/>
                        </w:rPr>
                      </w:pPr>
                      <w:r w:rsidRPr="003D4C10">
                        <w:rPr>
                          <w:rFonts w:ascii="Arial" w:hAnsi="Arial" w:cs="Arial"/>
                          <w:lang w:val="en-US"/>
                        </w:rPr>
                        <w:t xml:space="preserve">In contrast, evidence also exists where reduced antimicrobial use has not equated to falls in AMR. In a prospective trial in Sweden an 85% reduction in trimethoprim consumption resulted in only a marginal slowing of the rise in trimethoprim resistance among </w:t>
                      </w:r>
                      <w:proofErr w:type="spellStart"/>
                      <w:r w:rsidRPr="003D4C10">
                        <w:rPr>
                          <w:rFonts w:ascii="Arial" w:hAnsi="Arial" w:cs="Arial"/>
                          <w:lang w:val="en-US"/>
                        </w:rPr>
                        <w:t>uropathogenic</w:t>
                      </w:r>
                      <w:proofErr w:type="spellEnd"/>
                      <w:r w:rsidRPr="003D4C10">
                        <w:rPr>
                          <w:rFonts w:ascii="Arial" w:hAnsi="Arial" w:cs="Arial"/>
                          <w:lang w:val="en-US"/>
                        </w:rPr>
                        <w:t xml:space="preserve"> </w:t>
                      </w:r>
                      <w:r w:rsidRPr="003D4C10">
                        <w:rPr>
                          <w:rFonts w:ascii="Arial" w:hAnsi="Arial" w:cs="Arial"/>
                          <w:i/>
                          <w:lang w:val="en-US"/>
                        </w:rPr>
                        <w:t>E. coli</w:t>
                      </w:r>
                      <w:r w:rsidRPr="003D4C10">
                        <w:rPr>
                          <w:rFonts w:ascii="Arial" w:hAnsi="Arial" w:cs="Arial"/>
                          <w:lang w:val="en-US"/>
                        </w:rPr>
                        <w:t>.</w:t>
                      </w:r>
                      <w:r w:rsidRPr="003D4C10">
                        <w:rPr>
                          <w:rFonts w:ascii="Arial" w:hAnsi="Arial" w:cs="Arial"/>
                          <w:lang w:val="en-US"/>
                        </w:rPr>
                        <w:fldChar w:fldCharType="begin" w:fldLock="1"/>
                      </w:r>
                      <w:r w:rsidR="009E0BAE">
                        <w:rPr>
                          <w:rFonts w:ascii="Arial" w:hAnsi="Arial" w:cs="Arial"/>
                          <w:lang w:val="en-US"/>
                        </w:rPr>
                        <w:instrText>ADDIN CSL_CITATION { "citationItems" : [ { "id" : "ITEM-1", "itemData" : { "DOI" : "10.1093/jac/dkp387", "ISSN" : "1460-2091", "PMID" : "19900952", "abstract" : "OBJECTIVES: The worldwide rapid increase in antibiotic-resistant bacteria has made efforts to prolong the lifespan of existing antibiotics very important. Antibiotic resistance often confers a fitness cost in the bacterium. Resistance may thus be reversible if antibiotic use is discontinued or reduced. To examine this concept, we performed a 24 month voluntary restriction on the use of trimethoprim-containing drugs in Kronoberg County, Sweden. METHODS: The intervention was performed on a 14 year baseline of monthly data on trimethoprim resistance and consumption. A three-parameter mathematical model was used to analyse the intervention effect. The prerequisites for reversion of resistance (i.e. fitness cost, associated resistance and clonal composition) were studied on subsets of consecutively collected Escherichia coli from urinary tract infections. RESULTS: The use of trimethoprim-containing drugs decreased by 85% during the intervention. A marginal but statistically significant effect on the increase in trimethoprim resistance was registered. There was no change in the clonal composition of E. coli and there was no measurable fitness cost associated with trimethoprim resistance in clinical isolates. The frequency of associated antibiotic resistances in trimethoprim-resistant isolates was high. CONCLUSIONS: A lack of detectable fitness cost of trimethoprim resistance in vitro together with a strong co-selection of other antibiotics could explain the rather disappointing effect of the intervention. The result emphasizes the low possibility of reverting antibiotic resistance once established and the urgent need for the development of new antibacterial agents.", "author" : [ { "dropping-particle" : "", "family" : "Sundqvist", "given" : "M", "non-dropping-particle" : "", "parse-names" : false, "suffix" : "" }, { "dropping-particle" : "", "family" : "Geli", "given" : "P", "non-dropping-particle" : "", "parse-names" : false, "suffix" : "" }, { "dropping-particle" : "", "family" : "Andersson", "given" : "D I", "non-dropping-particle" : "", "parse-names" : false, "suffix" : "" }, { "dropping-particle" : "", "family" : "Sj\u00f6lund-Karlsson", "given" : "M", "non-dropping-particle" : "", "parse-names" : false, "suffix" : "" }, { "dropping-particle" : "", "family" : "Runehagen", "given" : "A", "non-dropping-particle" : "", "parse-names" : false, "suffix" : "" }, { "dropping-particle" : "", "family" : "Cars", "given" : "H", "non-dropping-particle" : "", "parse-names" : false, "suffix" : "" }, { "dropping-particle" : "", "family" : "Abelson-Storby", "given" : "K", "non-dropping-particle" : "", "parse-names" : false, "suffix" : "" }, { "dropping-particle" : "", "family" : "Cars", "given" : "O", "non-dropping-particle" : "", "parse-names" : false, "suffix" : "" }, { "dropping-particle" : "", "family" : "Kahlmeter", "given" : "G", "non-dropping-particle" : "", "parse-names" : false, "suffix" : "" } ], "container-title" : "Journal of Antimicrobial Chemotherapy", "id" : "ITEM-1", "issue" : "2", "issued" : { "date-parts" : [ [ "2010", "2" ] ] }, "page" : "350-60", "title" : "Little evidence for reversibility of trimethoprim resistance after a drastic reduction in trimethoprim use.", "type" : "article-journal", "volume" : "65" }, "uris" : [ "http://www.mendeley.com/documents/?uuid=56bc4642-45e4-4bc2-a296-0372b27bba5b" ] } ], "mendeley" : { "formattedCitation" : "&lt;sup&gt;112&lt;/sup&gt;", "plainTextFormattedCitation" : "112", "previouslyFormattedCitation" : "&lt;sup&gt;113&lt;/sup&gt;" }, "properties" : { "noteIndex" : 0 }, "schema" : "https://github.com/citation-style-language/schema/raw/master/csl-citation.json" }</w:instrText>
                      </w:r>
                      <w:r w:rsidRPr="003D4C10">
                        <w:rPr>
                          <w:rFonts w:ascii="Arial" w:hAnsi="Arial" w:cs="Arial"/>
                          <w:lang w:val="en-US"/>
                        </w:rPr>
                        <w:fldChar w:fldCharType="separate"/>
                      </w:r>
                      <w:r w:rsidR="009E0BAE" w:rsidRPr="009E0BAE">
                        <w:rPr>
                          <w:rFonts w:ascii="Arial" w:hAnsi="Arial" w:cs="Arial"/>
                          <w:noProof/>
                          <w:vertAlign w:val="superscript"/>
                          <w:lang w:val="en-US"/>
                        </w:rPr>
                        <w:t>112</w:t>
                      </w:r>
                      <w:r w:rsidRPr="003D4C10">
                        <w:rPr>
                          <w:rFonts w:ascii="Arial" w:hAnsi="Arial" w:cs="Arial"/>
                          <w:lang w:val="en-US"/>
                        </w:rPr>
                        <w:fldChar w:fldCharType="end"/>
                      </w:r>
                      <w:r w:rsidRPr="003D4C10">
                        <w:rPr>
                          <w:rFonts w:ascii="Arial" w:hAnsi="Arial" w:cs="Arial"/>
                          <w:lang w:val="en-US"/>
                        </w:rPr>
                        <w:t xml:space="preserve"> In the UK, a 98% decrease in </w:t>
                      </w:r>
                      <w:proofErr w:type="spellStart"/>
                      <w:r w:rsidRPr="003D4C10">
                        <w:rPr>
                          <w:rFonts w:ascii="Arial" w:hAnsi="Arial" w:cs="Arial"/>
                          <w:lang w:val="en-US"/>
                        </w:rPr>
                        <w:t>cotrimoxazole</w:t>
                      </w:r>
                      <w:proofErr w:type="spellEnd"/>
                      <w:r w:rsidRPr="003D4C10">
                        <w:rPr>
                          <w:rFonts w:ascii="Arial" w:hAnsi="Arial" w:cs="Arial"/>
                          <w:lang w:val="en-US"/>
                        </w:rPr>
                        <w:t xml:space="preserve"> consumption did not result in AMR reduction, instead inexplicably was followed by a 6% increase in </w:t>
                      </w:r>
                      <w:proofErr w:type="spellStart"/>
                      <w:r w:rsidRPr="003D4C10">
                        <w:rPr>
                          <w:rFonts w:ascii="Arial" w:hAnsi="Arial" w:cs="Arial"/>
                          <w:lang w:val="en-US"/>
                        </w:rPr>
                        <w:t>sulphonamide</w:t>
                      </w:r>
                      <w:proofErr w:type="spellEnd"/>
                      <w:r w:rsidRPr="003D4C10">
                        <w:rPr>
                          <w:rFonts w:ascii="Arial" w:hAnsi="Arial" w:cs="Arial"/>
                          <w:lang w:val="en-US"/>
                        </w:rPr>
                        <w:t xml:space="preserve"> resistance in clinical isolates of </w:t>
                      </w:r>
                      <w:r w:rsidRPr="003D4C10">
                        <w:rPr>
                          <w:rFonts w:ascii="Arial" w:hAnsi="Arial" w:cs="Arial"/>
                          <w:i/>
                          <w:lang w:val="en-US"/>
                        </w:rPr>
                        <w:t>E. coli</w:t>
                      </w:r>
                      <w:r w:rsidRPr="003D4C10">
                        <w:rPr>
                          <w:rFonts w:ascii="Arial" w:hAnsi="Arial" w:cs="Arial"/>
                          <w:lang w:val="en-US"/>
                        </w:rPr>
                        <w:t>.</w:t>
                      </w:r>
                      <w:r w:rsidRPr="003D4C10">
                        <w:rPr>
                          <w:rFonts w:ascii="Arial" w:hAnsi="Arial" w:cs="Arial"/>
                          <w:lang w:val="en-US"/>
                        </w:rPr>
                        <w:fldChar w:fldCharType="begin" w:fldLock="1"/>
                      </w:r>
                      <w:r w:rsidR="009E0BAE">
                        <w:rPr>
                          <w:rFonts w:ascii="Arial" w:hAnsi="Arial" w:cs="Arial"/>
                          <w:lang w:val="en-US"/>
                        </w:rPr>
                        <w:instrText>ADDIN CSL_CITATION { "citationItems" : [ { "id" : "ITEM-1", "itemData" : { "DOI" : "10.1016/S0140-6736(00)04519-0", "ISSN" : "0140-6736", "PMID" : "11343738", "abstract" : "BACKGROUND: There is a clear association between heavy antimicrobial consumption within a population and the frequent recovery of resistant bacteria, but whether a reduction in antimicrobial use can reverse this process is less clear. We investigated the effect of a national restriction of sulphonamide prescribing in the UK on the prevalence of sulphonamide resistance in Escherichia coli.\n\nMETHODS: Consecutive clinical isolates of E coli were collected at the Royal London Hospital in 1991 and 1999. These collections, each of more than 350 isolates, were compared. Minimum inhibitory concentrations of sulphamethoxazole and eight other antimicrobials were determined. The presence and locations of sulphonamide-resistance genes were examined by PCR, plasmid extraction, Southern hybridisation, and transconjugation.\n\nFINDINGS: Despite a huge decrease in sulphonamide prescriptions (from 3,208,000 [corrected] prescriptions per year in 1991 to 77,000 [corrected] in 1999), the frequency of resistance remained high in 1999 (165/359 [46.0%] vs 143/360 [39.7%] in 1991; difference 6.2% [95% CI 20.9 to 13.3]). Integron-borne sulI was present in 16.4% of isolates in 1991 and 17.5% in 1999. The prevalence of sulII increased from 26.7% in 1991 to 36.5% in 1999 (difference 9.8% [3.1 to 16.5] p=0.0046). SulII was located on large plasmids, at least some of which were conjugative multiresistance determinants.\n\nINTERPRETATION: These results show that a huge decrease in antibiotic prescribing does not necessarily reduce resistance within a useful time. The main reason seems to be the genetic linkage of the index resistance to other resistance determinants.", "author" : [ { "dropping-particle" : "", "family" : "Enne", "given" : "V I", "non-dropping-particle" : "", "parse-names" : false, "suffix" : "" }, { "dropping-particle" : "", "family" : "Livermore", "given" : "D M", "non-dropping-particle" : "", "parse-names" : false, "suffix" : "" }, { "dropping-particle" : "", "family" : "Stephens", "given" : "P", "non-dropping-particle" : "", "parse-names" : false, "suffix" : "" }, { "dropping-particle" : "", "family" : "Hall", "given" : "L M", "non-dropping-particle" : "", "parse-names" : false, "suffix" : "" } ], "container-title" : "Lancet", "id" : "ITEM-1", "issue" : "9265", "issued" : { "date-parts" : [ [ "2001", "4", "28" ] ] }, "page" : "1325-8", "title" : "Persistence of sulphonamide resistance in Escherichia coli in the UK despite national prescribing restriction.", "type" : "article-journal", "volume" : "357" }, "uris" : [ "http://www.mendeley.com/documents/?uuid=7d6bdd12-461a-401f-ab8f-7e37658206bb" ] } ], "mendeley" : { "formattedCitation" : "&lt;sup&gt;113&lt;/sup&gt;", "plainTextFormattedCitation" : "113", "previouslyFormattedCitation" : "&lt;sup&gt;114&lt;/sup&gt;" }, "properties" : { "noteIndex" : 0 }, "schema" : "https://github.com/citation-style-language/schema/raw/master/csl-citation.json" }</w:instrText>
                      </w:r>
                      <w:r w:rsidRPr="003D4C10">
                        <w:rPr>
                          <w:rFonts w:ascii="Arial" w:hAnsi="Arial" w:cs="Arial"/>
                          <w:lang w:val="en-US"/>
                        </w:rPr>
                        <w:fldChar w:fldCharType="separate"/>
                      </w:r>
                      <w:r w:rsidR="009E0BAE" w:rsidRPr="009E0BAE">
                        <w:rPr>
                          <w:rFonts w:ascii="Arial" w:hAnsi="Arial" w:cs="Arial"/>
                          <w:noProof/>
                          <w:vertAlign w:val="superscript"/>
                          <w:lang w:val="en-US"/>
                        </w:rPr>
                        <w:t>113</w:t>
                      </w:r>
                      <w:r w:rsidRPr="003D4C10">
                        <w:rPr>
                          <w:rFonts w:ascii="Arial" w:hAnsi="Arial" w:cs="Arial"/>
                          <w:lang w:val="en-US"/>
                        </w:rPr>
                        <w:fldChar w:fldCharType="end"/>
                      </w:r>
                      <w:r w:rsidRPr="003D4C10">
                        <w:rPr>
                          <w:rFonts w:ascii="Arial" w:hAnsi="Arial" w:cs="Arial"/>
                          <w:lang w:val="en-US"/>
                        </w:rPr>
                        <w:t xml:space="preserve"> </w:t>
                      </w:r>
                    </w:p>
                    <w:p w14:paraId="6A1ECFC7" w14:textId="77777777" w:rsidR="008F211C" w:rsidRPr="003D4C10" w:rsidRDefault="008F211C" w:rsidP="00A053CE">
                      <w:pPr>
                        <w:rPr>
                          <w:rFonts w:ascii="Arial" w:hAnsi="Arial" w:cs="Arial"/>
                          <w:lang w:val="en-US"/>
                        </w:rPr>
                      </w:pPr>
                    </w:p>
                    <w:p w14:paraId="3D4182AC" w14:textId="008CEDA3" w:rsidR="008F211C" w:rsidRPr="003D4C10" w:rsidRDefault="008F211C" w:rsidP="00A053CE">
                      <w:pPr>
                        <w:rPr>
                          <w:rFonts w:ascii="Arial" w:hAnsi="Arial" w:cs="Arial"/>
                          <w:lang w:val="en-US"/>
                        </w:rPr>
                      </w:pPr>
                      <w:r w:rsidRPr="003D4C10">
                        <w:rPr>
                          <w:rFonts w:ascii="Arial" w:hAnsi="Arial" w:cs="Arial"/>
                          <w:lang w:val="en-US"/>
                        </w:rPr>
                        <w:t xml:space="preserve">This lack of clear correlation between reduced use of </w:t>
                      </w:r>
                      <w:r w:rsidRPr="003D4C10">
                        <w:rPr>
                          <w:rFonts w:ascii="Arial" w:hAnsi="Arial" w:cs="Arial"/>
                        </w:rPr>
                        <w:t>antimicrobial</w:t>
                      </w:r>
                      <w:r w:rsidRPr="003D4C10">
                        <w:rPr>
                          <w:rFonts w:ascii="Arial" w:hAnsi="Arial" w:cs="Arial"/>
                          <w:lang w:val="en-US"/>
                        </w:rPr>
                        <w:t>s and decreased AMR urgently necessitates a greater understanding to enable the design of effective interventions.</w:t>
                      </w:r>
                    </w:p>
                    <w:p w14:paraId="153EDEAC" w14:textId="3F089075" w:rsidR="008F211C" w:rsidRPr="004E400F" w:rsidRDefault="008F211C" w:rsidP="00A053CE">
                      <w:pPr>
                        <w:rPr>
                          <w:sz w:val="19"/>
                          <w:szCs w:val="19"/>
                        </w:rPr>
                      </w:pPr>
                    </w:p>
                    <w:p w14:paraId="27F12C53" w14:textId="77777777" w:rsidR="008F211C" w:rsidRPr="004E400F" w:rsidRDefault="008F211C" w:rsidP="006D200F">
                      <w:pPr>
                        <w:rPr>
                          <w:sz w:val="19"/>
                          <w:szCs w:val="19"/>
                        </w:rPr>
                      </w:pPr>
                    </w:p>
                  </w:txbxContent>
                </v:textbox>
              </v:shape>
            </w:pict>
          </mc:Fallback>
        </mc:AlternateContent>
      </w:r>
      <w:r w:rsidRPr="000767AE">
        <w:rPr>
          <w:rFonts w:ascii="Arial" w:hAnsi="Arial" w:cs="Arial"/>
          <w:b/>
          <w:noProof/>
        </w:rPr>
        <mc:AlternateContent>
          <mc:Choice Requires="wps">
            <w:drawing>
              <wp:anchor distT="0" distB="0" distL="114300" distR="114300" simplePos="0" relativeHeight="251672576" behindDoc="0" locked="0" layoutInCell="1" allowOverlap="1" wp14:anchorId="1846080A" wp14:editId="58B76F80">
                <wp:simplePos x="0" y="0"/>
                <wp:positionH relativeFrom="column">
                  <wp:posOffset>4123055</wp:posOffset>
                </wp:positionH>
                <wp:positionV relativeFrom="paragraph">
                  <wp:posOffset>51435</wp:posOffset>
                </wp:positionV>
                <wp:extent cx="4352925" cy="5071745"/>
                <wp:effectExtent l="0" t="0" r="28575" b="14605"/>
                <wp:wrapNone/>
                <wp:docPr id="27" name="Text Box 27"/>
                <wp:cNvGraphicFramePr/>
                <a:graphic xmlns:a="http://schemas.openxmlformats.org/drawingml/2006/main">
                  <a:graphicData uri="http://schemas.microsoft.com/office/word/2010/wordprocessingShape">
                    <wps:wsp>
                      <wps:cNvSpPr txBox="1"/>
                      <wps:spPr>
                        <a:xfrm>
                          <a:off x="0" y="0"/>
                          <a:ext cx="4352925" cy="5071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5B413C" w14:textId="77777777" w:rsidR="008F211C" w:rsidRPr="003D4C10" w:rsidRDefault="008F211C" w:rsidP="00A053CE">
                            <w:pPr>
                              <w:rPr>
                                <w:rFonts w:ascii="Arial" w:hAnsi="Arial" w:cs="Arial"/>
                                <w:b/>
                                <w:u w:val="single"/>
                                <w:lang w:val="en-US"/>
                              </w:rPr>
                            </w:pPr>
                            <w:r w:rsidRPr="003D4C10">
                              <w:rPr>
                                <w:rFonts w:ascii="Arial" w:hAnsi="Arial" w:cs="Arial"/>
                                <w:b/>
                                <w:u w:val="single"/>
                                <w:lang w:val="en-US"/>
                              </w:rPr>
                              <w:t>Animal Health:</w:t>
                            </w:r>
                          </w:p>
                          <w:p w14:paraId="6FFDB5FF" w14:textId="52E99220" w:rsidR="008F211C" w:rsidRPr="003D4C10" w:rsidRDefault="008F211C" w:rsidP="00A053CE">
                            <w:pPr>
                              <w:rPr>
                                <w:rFonts w:ascii="Arial" w:hAnsi="Arial" w:cs="Arial"/>
                                <w:lang w:val="en-US"/>
                              </w:rPr>
                            </w:pPr>
                            <w:r w:rsidRPr="003D4C10">
                              <w:rPr>
                                <w:rFonts w:ascii="Arial" w:hAnsi="Arial" w:cs="Arial"/>
                                <w:lang w:val="en-US"/>
                              </w:rPr>
                              <w:t>Complexity is also evident in animal health when correlating reduced anti</w:t>
                            </w:r>
                            <w:r>
                              <w:rPr>
                                <w:rFonts w:ascii="Arial" w:hAnsi="Arial" w:cs="Arial"/>
                                <w:lang w:val="en-US"/>
                              </w:rPr>
                              <w:t>microbial use to falls in AMR. In</w:t>
                            </w:r>
                            <w:r w:rsidRPr="003D4C10">
                              <w:rPr>
                                <w:rFonts w:ascii="Arial" w:hAnsi="Arial" w:cs="Arial"/>
                                <w:lang w:val="en-US"/>
                              </w:rPr>
                              <w:t xml:space="preserve"> Denmark and Norway, following an avoparcin (a glycopeptide antimicrobial) agricultural ban, a marked reduction in the proportion of glycopeptide-resistant enterococci (GRE) was seen in broilers from poultry farms previously exposed to avoparcin.</w:t>
                            </w:r>
                            <w:r w:rsidRPr="003D4C10">
                              <w:rPr>
                                <w:rFonts w:ascii="Arial" w:hAnsi="Arial" w:cs="Arial"/>
                                <w:lang w:val="en-US"/>
                              </w:rPr>
                              <w:fldChar w:fldCharType="begin" w:fldLock="1"/>
                            </w:r>
                            <w:r w:rsidR="009E0BAE">
                              <w:rPr>
                                <w:rFonts w:ascii="Arial" w:hAnsi="Arial" w:cs="Arial"/>
                                <w:lang w:val="en-US"/>
                              </w:rPr>
                              <w:instrText>ADDIN CSL_CITATION { "citationItems" : [ { "id" : "ITEM-1", "itemData" : { "DOI" : "10.1128/AAC.45.7.2054", "author" : [ { "dropping-particle" : "", "family" : "Aarestrup", "given" : "Frank M\u00f8ller", "non-dropping-particle" : "", "parse-names" : false, "suffix" : "" }, { "dropping-particle" : "", "family" : "Seyfarth", "given" : "Anne Mette", "non-dropping-particle" : "", "parse-names" : false, "suffix" : "" }, { "dropping-particle" : "", "family" : "Emborg", "given" : "Hanne-dorthe", "non-dropping-particle" : "", "parse-names" : false, "suffix" : "" }, { "dropping-particle" : "", "family" : "Hendriksen", "given" : "S", "non-dropping-particle" : "", "parse-names" : false, "suffix" : "" }, { "dropping-particle" : "", "family" : "Bager", "given" : "Flemming", "non-dropping-particle" : "", "parse-names" : false, "suffix" : "" }, { "dropping-particle" : "", "family" : "Pedersen", "given" : "Karl", "non-dropping-particle" : "", "parse-names" : false, "suffix" : "" }, { "dropping-particle" : "", "family" : "Hendriksem", "given" : "Rene S", "non-dropping-particle" : "", "parse-names" : false, "suffix" : "" } ], "container-title" : "Antimicrobial Agents and Chemotherapy", "id" : "ITEM-1", "issue" : "7", "issued" : { "date-parts" : [ [ "2001" ] ] }, "page" : "2054-2059", "title" : "Effect of Abolishment of the Use of Antimicrobial Agents for Growth Promotion on Occurrence of Antimicrobial Resistance in Fecal Enterococci from Food Animals in Denmark", "type" : "article-journal", "volume" : "45" }, "uris" : [ "http://www.mendeley.com/documents/?uuid=4ac94234-beaf-4b27-b0e3-5a62c5730a1c" ] } ], "mendeley" : { "formattedCitation" : "&lt;sup&gt;114&lt;/sup&gt;", "plainTextFormattedCitation" : "114", "previouslyFormattedCitation" : "&lt;sup&gt;115&lt;/sup&gt;" }, "properties" : { "noteIndex" : 0 }, "schema" : "https://github.com/citation-style-language/schema/raw/master/csl-citation.json" }</w:instrText>
                            </w:r>
                            <w:r w:rsidRPr="003D4C10">
                              <w:rPr>
                                <w:rFonts w:ascii="Arial" w:hAnsi="Arial" w:cs="Arial"/>
                                <w:lang w:val="en-US"/>
                              </w:rPr>
                              <w:fldChar w:fldCharType="separate"/>
                            </w:r>
                            <w:r w:rsidR="009E0BAE" w:rsidRPr="009E0BAE">
                              <w:rPr>
                                <w:rFonts w:ascii="Arial" w:hAnsi="Arial" w:cs="Arial"/>
                                <w:noProof/>
                                <w:vertAlign w:val="superscript"/>
                                <w:lang w:val="en-US"/>
                              </w:rPr>
                              <w:t>114</w:t>
                            </w:r>
                            <w:r w:rsidRPr="003D4C10">
                              <w:rPr>
                                <w:rFonts w:ascii="Arial" w:hAnsi="Arial" w:cs="Arial"/>
                                <w:lang w:val="en-US"/>
                              </w:rPr>
                              <w:fldChar w:fldCharType="end"/>
                            </w:r>
                            <w:r w:rsidRPr="003D4C10">
                              <w:rPr>
                                <w:rFonts w:ascii="Arial" w:hAnsi="Arial" w:cs="Arial"/>
                                <w:lang w:val="en-US"/>
                              </w:rPr>
                              <w:t xml:space="preserve"> However, whilst post-ban studies suggested that the amount of faecal GRE in broilers may have decreased significantly, the prevalence of animals colonised with GRE was still high several years after the </w:t>
                            </w:r>
                            <w:r w:rsidRPr="000D27F1">
                              <w:rPr>
                                <w:rFonts w:ascii="Arial" w:hAnsi="Arial" w:cs="Arial"/>
                                <w:highlight w:val="yellow"/>
                                <w:lang w:val="en-US"/>
                              </w:rPr>
                              <w:t>ban.</w:t>
                            </w:r>
                            <w:r>
                              <w:rPr>
                                <w:rFonts w:ascii="Arial" w:hAnsi="Arial" w:cs="Arial"/>
                                <w:highlight w:val="yellow"/>
                                <w:lang w:val="en-US"/>
                              </w:rPr>
                              <w:fldChar w:fldCharType="begin" w:fldLock="1"/>
                            </w:r>
                            <w:r w:rsidR="009E0BAE">
                              <w:rPr>
                                <w:rFonts w:ascii="Arial" w:hAnsi="Arial" w:cs="Arial"/>
                                <w:highlight w:val="yellow"/>
                                <w:lang w:val="en-US"/>
                              </w:rPr>
                              <w:instrText>ADDIN CSL_CITATION { "citationItems" : [ { "id" : "ITEM-1", "itemData" : { "ISSN" : "1364-5072", "PMID" : "11021580", "abstract" : "Avoparcin was used as a feed additive in Norwegian broiler and turkey production from 1986 until 1995. It was banned due to the selection of VanA-type vancomycin-resistant enterococci (VRE) in animal husbandry and to reduce the potential for human exposure to VRE. The aim of the present study was to investigate the prevalence of VRE carriage in Norwegian poultry farmers and their poultry three years after avoparcin was banned. Corresponding faecal samples from poultry and humans on farms where avoparcin had previously been used (exposed farms, n = 73) and farms where avoparcin had never been used (unexposed farms, n = 74) were analysed for the presence of VRE. For each farm, one sample from the poultry house and one sample from the farmer were obtained. VRE were isolated from 72 of 73 (99%) and eight of 74 (11%) poultry samples from exposed and unexposed farms, respectively. VRE were isolated from 13 of 73 (18%) and one of 74 (1%) farmer samples from exposed and unexposed farms, respectively. All VRE isolates were highly resistant to vancomycin and possessed the vanA gene, as shown by PCR. The high prevalence of VRE is in accordance with previous Norwegian studies, and shows a remarkable stability of the VanA resistance determinant in an apparently non-selective environment.", "author" : [ { "dropping-particle" : "", "family" : "Borgen", "given" : "K", "non-dropping-particle" : "", "parse-names" : false, "suffix" : "" }, { "dropping-particle" : "", "family" : "Simonsen", "given" : "G S", "non-dropping-particle" : "", "parse-names" : false, "suffix" : "" }, { "dropping-particle" : "", "family" : "Sundsfjord", "given" : "A", "non-dropping-particle" : "", "parse-names" : false, "suffix" : "" }, { "dropping-particle" : "", "family" : "Wasteson", "given" : "Y", "non-dropping-particle" : "", "parse-names" : false, "suffix" : "" }, { "dropping-particle" : "", "family" : "Olsvik", "given" : "O", "non-dropping-particle" : "", "parse-names" : false, "suffix" : "" }, { "dropping-particle" : "", "family" : "Kruse", "given" : "H", "non-dropping-particle" : "", "parse-names" : false, "suffix" : "" } ], "container-title" : "Journal of Applied Microbiology", "id" : "ITEM-1", "issue" : "3", "issued" : { "date-parts" : [ [ "2000", "9" ] ] }, "page" : "478-85", "title" : "Continuing high prevalence of VanA-type vancomycin-resistant enterococci on Norwegian poultry farms three years after avoparcin was banned.", "type" : "article-journal", "volume" : "89" }, "uris" : [ "http://www.mendeley.com/documents/?uuid=f8334a94-57a7-424d-886d-030460f51bc7" ] } ], "mendeley" : { "formattedCitation" : "&lt;sup&gt;115&lt;/sup&gt;", "plainTextFormattedCitation" : "115", "previouslyFormattedCitation" : "&lt;sup&gt;116&lt;/sup&gt;" }, "properties" : { "noteIndex" : 0 }, "schema" : "https://github.com/citation-style-language/schema/raw/master/csl-citation.json" }</w:instrText>
                            </w:r>
                            <w:r>
                              <w:rPr>
                                <w:rFonts w:ascii="Arial" w:hAnsi="Arial" w:cs="Arial"/>
                                <w:highlight w:val="yellow"/>
                                <w:lang w:val="en-US"/>
                              </w:rPr>
                              <w:fldChar w:fldCharType="separate"/>
                            </w:r>
                            <w:r w:rsidR="009E0BAE" w:rsidRPr="009E0BAE">
                              <w:rPr>
                                <w:rFonts w:ascii="Arial" w:hAnsi="Arial" w:cs="Arial"/>
                                <w:noProof/>
                                <w:highlight w:val="yellow"/>
                                <w:vertAlign w:val="superscript"/>
                                <w:lang w:val="en-US"/>
                              </w:rPr>
                              <w:t>115</w:t>
                            </w:r>
                            <w:r>
                              <w:rPr>
                                <w:rFonts w:ascii="Arial" w:hAnsi="Arial" w:cs="Arial"/>
                                <w:highlight w:val="yellow"/>
                                <w:lang w:val="en-US"/>
                              </w:rPr>
                              <w:fldChar w:fldCharType="end"/>
                            </w:r>
                            <w:r>
                              <w:rPr>
                                <w:rFonts w:ascii="Arial" w:hAnsi="Arial" w:cs="Arial"/>
                                <w:highlight w:val="yellow"/>
                                <w:lang w:val="en-US"/>
                              </w:rPr>
                              <w:t xml:space="preserve"> </w:t>
                            </w:r>
                            <w:r w:rsidRPr="000D27F1">
                              <w:rPr>
                                <w:rFonts w:ascii="Arial" w:hAnsi="Arial" w:cs="Arial"/>
                                <w:highlight w:val="yellow"/>
                                <w:lang w:val="en-US"/>
                              </w:rPr>
                              <w:t>A</w:t>
                            </w:r>
                            <w:r w:rsidRPr="003D4C10">
                              <w:rPr>
                                <w:rFonts w:ascii="Arial" w:hAnsi="Arial" w:cs="Arial"/>
                                <w:lang w:val="en-US"/>
                              </w:rPr>
                              <w:t xml:space="preserve"> similar situation is seen in pigs. In the UK after the 1971 ban of tetracycline as an animal growth promoter, the proportion of tetracycline-resistant </w:t>
                            </w:r>
                            <w:r w:rsidRPr="003D4C10">
                              <w:rPr>
                                <w:rFonts w:ascii="Arial" w:hAnsi="Arial" w:cs="Arial"/>
                                <w:i/>
                                <w:lang w:val="en-US"/>
                              </w:rPr>
                              <w:t>E. coli</w:t>
                            </w:r>
                            <w:r w:rsidRPr="003D4C10">
                              <w:rPr>
                                <w:rFonts w:ascii="Arial" w:hAnsi="Arial" w:cs="Arial"/>
                                <w:lang w:val="en-US"/>
                              </w:rPr>
                              <w:t xml:space="preserve"> isolated from the exposed pig population decreased, but the prevalence of colonised pigs remained at 100% several years later.</w:t>
                            </w:r>
                            <w:r w:rsidRPr="003D4C10">
                              <w:rPr>
                                <w:rFonts w:ascii="Arial" w:hAnsi="Arial" w:cs="Arial"/>
                                <w:lang w:val="en-US"/>
                              </w:rPr>
                              <w:fldChar w:fldCharType="begin" w:fldLock="1"/>
                            </w:r>
                            <w:r w:rsidR="009E0BAE">
                              <w:rPr>
                                <w:rFonts w:ascii="Arial" w:hAnsi="Arial" w:cs="Arial"/>
                                <w:lang w:val="en-US"/>
                              </w:rPr>
                              <w:instrText>ADDIN CSL_CITATION { "citationItems" : [ { "id" : "ITEM-1", "itemData" : { "ISSN" : "0028-0836", "PMID" : "1107850", "author" : [ { "dropping-particle" : "", "family" : "Smith", "given" : "H W", "non-dropping-particle" : "", "parse-names" : false, "suffix" : "" } ], "container-title" : "Nature", "id" : "ITEM-1", "issue" : "5536", "issued" : { "date-parts" : [ [ "1975", "12", "18" ] ] }, "page" : "628-30", "title" : "Persistence of tetracycline resistance in pig E. coli.", "type" : "article-journal", "volume" : "258" }, "uris" : [ "http://www.mendeley.com/documents/?uuid=af191941-6b9c-4497-a350-b1e2d817458e" ] } ], "mendeley" : { "formattedCitation" : "&lt;sup&gt;116&lt;/sup&gt;", "plainTextFormattedCitation" : "116", "previouslyFormattedCitation" : "&lt;sup&gt;117&lt;/sup&gt;" }, "properties" : { "noteIndex" : 0 }, "schema" : "https://github.com/citation-style-language/schema/raw/master/csl-citation.json" }</w:instrText>
                            </w:r>
                            <w:r w:rsidRPr="003D4C10">
                              <w:rPr>
                                <w:rFonts w:ascii="Arial" w:hAnsi="Arial" w:cs="Arial"/>
                                <w:lang w:val="en-US"/>
                              </w:rPr>
                              <w:fldChar w:fldCharType="separate"/>
                            </w:r>
                            <w:r w:rsidR="009E0BAE" w:rsidRPr="009E0BAE">
                              <w:rPr>
                                <w:rFonts w:ascii="Arial" w:hAnsi="Arial" w:cs="Arial"/>
                                <w:noProof/>
                                <w:vertAlign w:val="superscript"/>
                                <w:lang w:val="en-US"/>
                              </w:rPr>
                              <w:t>116</w:t>
                            </w:r>
                            <w:r w:rsidRPr="003D4C10">
                              <w:rPr>
                                <w:rFonts w:ascii="Arial" w:hAnsi="Arial" w:cs="Arial"/>
                                <w:lang w:val="en-US"/>
                              </w:rPr>
                              <w:fldChar w:fldCharType="end"/>
                            </w:r>
                            <w:r w:rsidRPr="003D4C10">
                              <w:rPr>
                                <w:rFonts w:ascii="Arial" w:hAnsi="Arial" w:cs="Arial"/>
                                <w:lang w:val="en-US"/>
                              </w:rPr>
                              <w:t xml:space="preserve"> </w:t>
                            </w:r>
                          </w:p>
                          <w:p w14:paraId="5164809A" w14:textId="77777777" w:rsidR="008F211C" w:rsidRPr="003D4C10" w:rsidRDefault="008F211C" w:rsidP="00A053CE">
                            <w:pPr>
                              <w:rPr>
                                <w:rFonts w:ascii="Arial" w:hAnsi="Arial" w:cs="Arial"/>
                                <w:lang w:val="en-US"/>
                              </w:rPr>
                            </w:pPr>
                          </w:p>
                          <w:p w14:paraId="71DEFE51" w14:textId="4C3256CA" w:rsidR="008F211C" w:rsidRPr="003D4C10" w:rsidRDefault="008F211C" w:rsidP="00A053CE">
                            <w:pPr>
                              <w:rPr>
                                <w:rFonts w:ascii="Arial" w:hAnsi="Arial" w:cs="Arial"/>
                                <w:lang w:val="en-US"/>
                              </w:rPr>
                            </w:pPr>
                            <w:r>
                              <w:rPr>
                                <w:rFonts w:ascii="Arial" w:hAnsi="Arial" w:cs="Arial"/>
                                <w:lang w:val="en-US"/>
                              </w:rPr>
                              <w:t>Yet importantly r</w:t>
                            </w:r>
                            <w:r w:rsidRPr="003D4C10">
                              <w:rPr>
                                <w:rFonts w:ascii="Arial" w:hAnsi="Arial" w:cs="Arial"/>
                                <w:lang w:val="en-US"/>
                              </w:rPr>
                              <w:t xml:space="preserve">educing animal antimicrobial use may not alter production volumes. </w:t>
                            </w:r>
                            <w:r>
                              <w:rPr>
                                <w:rFonts w:ascii="Arial" w:hAnsi="Arial" w:cs="Arial"/>
                                <w:lang w:val="en-US"/>
                              </w:rPr>
                              <w:t>T</w:t>
                            </w:r>
                            <w:r w:rsidRPr="003D4C10">
                              <w:rPr>
                                <w:rFonts w:ascii="Arial" w:hAnsi="Arial" w:cs="Arial"/>
                                <w:lang w:val="en-US"/>
                              </w:rPr>
                              <w:t>he avoparcin ban for antimicrobial growth-promotion noted above had no deleterious effect on production volume.</w:t>
                            </w:r>
                            <w:r w:rsidRPr="003D4C10">
                              <w:rPr>
                                <w:rFonts w:ascii="Arial" w:hAnsi="Arial" w:cs="Arial"/>
                                <w:lang w:val="en-US"/>
                              </w:rPr>
                              <w:fldChar w:fldCharType="begin" w:fldLock="1"/>
                            </w:r>
                            <w:r w:rsidR="009E0BAE">
                              <w:rPr>
                                <w:rFonts w:ascii="Arial" w:hAnsi="Arial" w:cs="Arial"/>
                                <w:lang w:val="en-US"/>
                              </w:rPr>
                              <w:instrText>ADDIN CSL_CITATION { "citationItems" : [ { "id" : "ITEM-1", "itemData" : { "ISBN" : "4535300100", "author" : [ { "dropping-particle" : "", "family" : "Emborg", "given" : "Hanne-dorthe", "non-dropping-particle" : "", "parse-names" : false, "suffix" : "" }, { "dropping-particle" : "", "family" : "Ersboll", "given" : "Annette Kjaer", "non-dropping-particle" : "", "parse-names" : false, "suffix" : "" }, { "dropping-particle" : "", "family" : "Heuer", "given" : "Ole Eske", "non-dropping-particle" : "", "parse-names" : false, "suffix" : "" }, { "dropping-particle" : "", "family" : "Wegener", "given" : "Henrik Caspar", "non-dropping-particle" : "", "parse-names" : false, "suffix" : "" } ], "container-title" : "Preventative Veterinary Medicine", "id" : "ITEM-1", "issued" : { "date-parts" : [ [ "2001" ] ] }, "page" : "53-70", "title" : "The effect of discontinuing the use of antimicrobial growth promoters on the productivity in the Danish broiler production", "type" : "article-journal", "volume" : "50" }, "uris" : [ "http://www.mendeley.com/documents/?uuid=b3ee5718-71c6-4598-a959-e8bd83728ed9" ] } ], "mendeley" : { "formattedCitation" : "&lt;sup&gt;117&lt;/sup&gt;", "plainTextFormattedCitation" : "117", "previouslyFormattedCitation" : "&lt;sup&gt;118&lt;/sup&gt;" }, "properties" : { "noteIndex" : 0 }, "schema" : "https://github.com/citation-style-language/schema/raw/master/csl-citation.json" }</w:instrText>
                            </w:r>
                            <w:r w:rsidRPr="003D4C10">
                              <w:rPr>
                                <w:rFonts w:ascii="Arial" w:hAnsi="Arial" w:cs="Arial"/>
                                <w:lang w:val="en-US"/>
                              </w:rPr>
                              <w:fldChar w:fldCharType="separate"/>
                            </w:r>
                            <w:r w:rsidR="009E0BAE" w:rsidRPr="009E0BAE">
                              <w:rPr>
                                <w:rFonts w:ascii="Arial" w:hAnsi="Arial" w:cs="Arial"/>
                                <w:noProof/>
                                <w:vertAlign w:val="superscript"/>
                                <w:lang w:val="en-US"/>
                              </w:rPr>
                              <w:t>117</w:t>
                            </w:r>
                            <w:r w:rsidRPr="003D4C10">
                              <w:rPr>
                                <w:rFonts w:ascii="Arial" w:hAnsi="Arial" w:cs="Arial"/>
                                <w:lang w:val="en-US"/>
                              </w:rPr>
                              <w:fldChar w:fldCharType="end"/>
                            </w:r>
                            <w:r w:rsidRPr="003D4C10">
                              <w:rPr>
                                <w:rFonts w:ascii="Arial" w:hAnsi="Arial" w:cs="Arial"/>
                                <w:lang w:val="en-US"/>
                              </w:rPr>
                              <w:t xml:space="preserve"> Similarly among Danish pigs, a 60% reduction in pig antimicrobial consumption had no negative effect on productivity</w:t>
                            </w:r>
                            <w:r w:rsidRPr="000D27F1">
                              <w:rPr>
                                <w:rFonts w:ascii="Arial" w:hAnsi="Arial" w:cs="Arial"/>
                                <w:highlight w:val="yellow"/>
                                <w:lang w:val="en-US"/>
                              </w:rPr>
                              <w:t>.</w:t>
                            </w:r>
                            <w:r w:rsidRPr="000D27F1">
                              <w:rPr>
                                <w:rFonts w:ascii="Arial" w:hAnsi="Arial" w:cs="Arial"/>
                                <w:highlight w:val="yellow"/>
                                <w:lang w:val="en-US"/>
                              </w:rPr>
                              <w:fldChar w:fldCharType="begin" w:fldLock="1"/>
                            </w:r>
                            <w:r w:rsidR="009E0BAE">
                              <w:rPr>
                                <w:rFonts w:ascii="Arial" w:hAnsi="Arial" w:cs="Arial"/>
                                <w:highlight w:val="yellow"/>
                                <w:lang w:val="en-US"/>
                              </w:rPr>
                              <w:instrText>ADDIN CSL_CITATION { "citationItems" : [ { "id" : "ITEM-1", "itemData" : { "DOI" : "10.2460/ajvr.71.7.726", "ISSN" : "0002-9645", "PMID" : "20594073", "abstract" : "OBJECTIVE: To evaluate changes in antimicrobial consumption and productivity by Danish swine farms during 1992 to 2008. SAMPLE POPULATION: All Danish swine farms for antimicrobial consumption data and a representative sample of Danish swine herds for productivity data. PROCEDURES: Antimicrobial consumption by Danish swine farms from 1992 to 2008 was determined and evaluated in light of policies to regulate antimicrobial consumption, changes in disease patterns, and productivity data. Trend analyses of productivity data were conducted before and after a ban on use of antimicrobial growth promoters (AGPs). Results-Antimicrobial consumption peaked at 100 mg/kg of swine produced in 1992, decreased to 31 mg/kg in 1999, and increased to 49 mg/kg in 2008. Key factors for changes were regulations banning subtherapeutic use of antimicrobials and veterinary profits from the prescription and sale of antimicrobials in 1994 and termination of AGP use by January 2000. Pig production increased from 18.4 to 271 million pigs, and the mean number of pigs per sow per year raised for slaughter increased from 21 in 1992 to 25 in 2007 Average daily gain for weaning (&lt; 35 kg) and finishing (&gt; 35 kg) pigs was higher in 2008 than in 1992, but mortality rates for weaning and finishing pigs were similar in 1992 and 2008. CONCLUSIONS AND CLINICAL RELEVANCE: From 1992 to 2008, antimicrobial consumption per kilogram of pig produced in Denmark decreased by &gt; 50%. Furthermore, there was improvement in productivity, suggesting that long-term swine productivity was not negatively impacted by a ban on AGP use.", "author" : [ { "dropping-particle" : "", "family" : "Aarestrup", "given" : "Frank M", "non-dropping-particle" : "", "parse-names" : false, "suffix" : "" }, { "dropping-particle" : "", "family" : "Jensen", "given" : "Vibeke F", "non-dropping-particle" : "", "parse-names" : false, "suffix" : "" }, { "dropping-particle" : "", "family" : "Emborg", "given" : "Hanne-Dorthe", "non-dropping-particle" : "", "parse-names" : false, "suffix" : "" }, { "dropping-particle" : "", "family" : "Jacobsen", "given" : "Erik", "non-dropping-particle" : "", "parse-names" : false, "suffix" : "" }, { "dropping-particle" : "", "family" : "Wegener", "given" : "Henrik C", "non-dropping-particle" : "", "parse-names" : false, "suffix" : "" } ], "container-title" : "American Journal of Veterinary Research", "id" : "ITEM-1", "issue" : "7", "issued" : { "date-parts" : [ [ "2010", "7" ] ] }, "page" : "726-33", "title" : "Changes in the use of antimicrobials and the effects on productivity of swine farms in Denmark.", "type" : "article-journal", "volume" : "71" }, "uris" : [ "http://www.mendeley.com/documents/?uuid=157c9f90-c02d-4150-b4db-adc807174ccc" ] } ], "mendeley" : { "formattedCitation" : "&lt;sup&gt;118&lt;/sup&gt;", "plainTextFormattedCitation" : "118", "previouslyFormattedCitation" : "&lt;sup&gt;119&lt;/sup&gt;" }, "properties" : { "noteIndex" : 0 }, "schema" : "https://github.com/citation-style-language/schema/raw/master/csl-citation.json" }</w:instrText>
                            </w:r>
                            <w:r w:rsidRPr="000D27F1">
                              <w:rPr>
                                <w:rFonts w:ascii="Arial" w:hAnsi="Arial" w:cs="Arial"/>
                                <w:highlight w:val="yellow"/>
                                <w:lang w:val="en-US"/>
                              </w:rPr>
                              <w:fldChar w:fldCharType="separate"/>
                            </w:r>
                            <w:r w:rsidR="009E0BAE" w:rsidRPr="009E0BAE">
                              <w:rPr>
                                <w:rFonts w:ascii="Arial" w:hAnsi="Arial" w:cs="Arial"/>
                                <w:noProof/>
                                <w:highlight w:val="yellow"/>
                                <w:vertAlign w:val="superscript"/>
                                <w:lang w:val="en-US"/>
                              </w:rPr>
                              <w:t>118</w:t>
                            </w:r>
                            <w:r w:rsidRPr="000D27F1">
                              <w:rPr>
                                <w:rFonts w:ascii="Arial" w:hAnsi="Arial" w:cs="Arial"/>
                                <w:highlight w:val="yellow"/>
                                <w:lang w:val="en-US"/>
                              </w:rPr>
                              <w:fldChar w:fldCharType="end"/>
                            </w:r>
                            <w:r w:rsidRPr="003D4C10">
                              <w:rPr>
                                <w:rFonts w:ascii="Arial" w:hAnsi="Arial" w:cs="Arial"/>
                                <w:lang w:val="en-US"/>
                              </w:rPr>
                              <w:t xml:space="preserve"> However the European ban on antimicrobials as growth promoters has seen a modest increase in infections, and an attributable increase in therapeutic use of antimicrobials in classes of direct importance to human healt</w:t>
                            </w:r>
                            <w:r w:rsidRPr="00927579">
                              <w:rPr>
                                <w:rFonts w:ascii="Arial" w:hAnsi="Arial" w:cs="Arial"/>
                                <w:lang w:val="en-US"/>
                              </w:rPr>
                              <w:t>h.</w:t>
                            </w:r>
                            <w:r w:rsidRPr="00927579">
                              <w:rPr>
                                <w:rFonts w:ascii="Arial" w:hAnsi="Arial" w:cs="Arial"/>
                                <w:lang w:val="en-US"/>
                              </w:rPr>
                              <w:fldChar w:fldCharType="begin" w:fldLock="1"/>
                            </w:r>
                            <w:r w:rsidR="009E0BAE">
                              <w:rPr>
                                <w:rFonts w:ascii="Arial" w:hAnsi="Arial" w:cs="Arial"/>
                                <w:lang w:val="en-US"/>
                              </w:rPr>
                              <w:instrText>ADDIN CSL_CITATION { "citationItems" : [ { "id" : "ITEM-1", "itemData" : { "DOI" : "10.1017/S095026880700814X", "ISSN" : "0950-2688", "PMID" : "17335634", "abstract" : "This study estimated the effect of discontinued use of antimicrobial growth promoters (duAGPs) on the risk of antibiotic treatment for diarrhoea, arthritis, pneumonia, unthriving and miscellaneous disorders in Danish pig farms. The estimation was done in a case-crossover study comparing: (1) the proportion of days per farm where treatment was performed (PDT) and (2) the proportion of pigs treated per day per farm at days where treatment was performed (PPT) before and after duAGPs at 68 farrow-to-finish farms. The farms were selected using a two-stage (veterinarian/farm) convenience sampling. On average, during the first year after duAGPs there was a significant increase in the risk of antibiotic treatment for diarrhoea (PDT: OR 2.5, 95% CI 1.7-3.8; PPT: OR 1.6, 95% CI 1.1-2.2). However, the effect varied among farms--some farms experienced substantial problems, while others experienced few problems after duAGPs. No effect was identified for the risk of treatment for other diseases.", "author" : [ { "dropping-particle" : "", "family" : "Vigre", "given" : "H", "non-dropping-particle" : "", "parse-names" : false, "suffix" : "" }, { "dropping-particle" : "", "family" : "Larsen", "given" : "P B", "non-dropping-particle" : "", "parse-names" : false, "suffix" : "" }, { "dropping-particle" : "", "family" : "Andreasen", "given" : "M", "non-dropping-particle" : "", "parse-names" : false, "suffix" : "" }, { "dropping-particle" : "", "family" : "Christensen", "given" : "J", "non-dropping-particle" : "", "parse-names" : false, "suffix" : "" }, { "dropping-particle" : "", "family" : "Jorsal", "given" : "S E", "non-dropping-particle" : "", "parse-names" : false, "suffix" : "" } ], "container-title" : "Epidemiology and Infection", "id" : "ITEM-1", "issue" : "1", "issued" : { "date-parts" : [ [ "2008", "1" ] ] }, "page" : "92-107", "title" : "The effect of discontinued use of antimicrobial growth promoters on the risk of therapeutic antibiotic treatment in Danish farrow-to-finish pig farms.", "type" : "article-journal", "volume" : "136" }, "uris" : [ "http://www.mendeley.com/documents/?uuid=9d39147d-2376-46b2-a0cf-86998712906c" ] } ], "mendeley" : { "formattedCitation" : "&lt;sup&gt;119&lt;/sup&gt;", "plainTextFormattedCitation" : "119", "previouslyFormattedCitation" : "&lt;sup&gt;120&lt;/sup&gt;" }, "properties" : { "noteIndex" : 0 }, "schema" : "https://github.com/citation-style-language/schema/raw/master/csl-citation.json" }</w:instrText>
                            </w:r>
                            <w:r w:rsidRPr="00927579">
                              <w:rPr>
                                <w:rFonts w:ascii="Arial" w:hAnsi="Arial" w:cs="Arial"/>
                                <w:lang w:val="en-US"/>
                              </w:rPr>
                              <w:fldChar w:fldCharType="separate"/>
                            </w:r>
                            <w:r w:rsidR="009E0BAE" w:rsidRPr="009E0BAE">
                              <w:rPr>
                                <w:rFonts w:ascii="Arial" w:hAnsi="Arial" w:cs="Arial"/>
                                <w:noProof/>
                                <w:vertAlign w:val="superscript"/>
                                <w:lang w:val="en-US"/>
                              </w:rPr>
                              <w:t>119</w:t>
                            </w:r>
                            <w:r w:rsidRPr="00927579">
                              <w:rPr>
                                <w:rFonts w:ascii="Arial" w:hAnsi="Arial" w:cs="Arial"/>
                                <w:lang w:val="en-US"/>
                              </w:rPr>
                              <w:fldChar w:fldCharType="end"/>
                            </w:r>
                            <w:r w:rsidRPr="003D4C10" w:rsidDel="0028774E">
                              <w:rPr>
                                <w:rFonts w:ascii="Arial" w:hAnsi="Arial" w:cs="Arial"/>
                                <w:lang w:val="en-US"/>
                              </w:rPr>
                              <w:t xml:space="preserve"> </w:t>
                            </w:r>
                          </w:p>
                          <w:p w14:paraId="4C505550" w14:textId="77777777" w:rsidR="008F211C" w:rsidRPr="003D4C10" w:rsidRDefault="008F211C" w:rsidP="00A053CE">
                            <w:pPr>
                              <w:rPr>
                                <w:rFonts w:ascii="Arial" w:hAnsi="Arial" w:cs="Arial"/>
                                <w:lang w:val="en-US"/>
                              </w:rPr>
                            </w:pPr>
                          </w:p>
                          <w:p w14:paraId="74E25A09" w14:textId="24061CE3" w:rsidR="008F211C" w:rsidRPr="003D4C10" w:rsidRDefault="008F211C" w:rsidP="00A053CE">
                            <w:pPr>
                              <w:rPr>
                                <w:rFonts w:ascii="Arial" w:hAnsi="Arial" w:cs="Arial"/>
                                <w:lang w:val="en-US"/>
                              </w:rPr>
                            </w:pPr>
                            <w:r w:rsidRPr="003D4C10">
                              <w:rPr>
                                <w:rFonts w:ascii="Arial" w:hAnsi="Arial" w:cs="Arial"/>
                                <w:lang w:val="en-US"/>
                              </w:rPr>
                              <w:t>Whilst reduction in animal antimicrobial use may not clearly decrease AMR, it will delay further development and spread, without adversely affecting production volumes. Policies to restrict novel classes to either animal or human health may further help prevent the crossover of resistance.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4" type="#_x0000_t202" style="position:absolute;left:0;text-align:left;margin-left:324.65pt;margin-top:4.05pt;width:342.75pt;height:39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" fillcolor="white [3201]" strokeweight=".5pt">
                <v:textbox>
                  <w:txbxContent>
                    <w:p w14:paraId="115B413C" w14:textId="77777777" w:rsidR="008F211C" w:rsidRPr="003D4C10" w:rsidRDefault="008F211C" w:rsidP="00A053CE">
                      <w:pPr>
                        <w:rPr>
                          <w:rFonts w:ascii="Arial" w:hAnsi="Arial" w:cs="Arial"/>
                          <w:b/>
                          <w:u w:val="single"/>
                          <w:lang w:val="en-US"/>
                        </w:rPr>
                      </w:pPr>
                      <w:r w:rsidRPr="003D4C10">
                        <w:rPr>
                          <w:rFonts w:ascii="Arial" w:hAnsi="Arial" w:cs="Arial"/>
                          <w:b/>
                          <w:u w:val="single"/>
                          <w:lang w:val="en-US"/>
                        </w:rPr>
                        <w:t>Animal Health:</w:t>
                      </w:r>
                    </w:p>
                    <w:p w14:paraId="6FFDB5FF" w14:textId="52E99220" w:rsidR="008F211C" w:rsidRPr="003D4C10" w:rsidRDefault="008F211C" w:rsidP="00A053CE">
                      <w:pPr>
                        <w:rPr>
                          <w:rFonts w:ascii="Arial" w:hAnsi="Arial" w:cs="Arial"/>
                          <w:lang w:val="en-US"/>
                        </w:rPr>
                      </w:pPr>
                      <w:r w:rsidRPr="003D4C10">
                        <w:rPr>
                          <w:rFonts w:ascii="Arial" w:hAnsi="Arial" w:cs="Arial"/>
                          <w:lang w:val="en-US"/>
                        </w:rPr>
                        <w:t>Complexity is also evident in animal health when correlating reduced anti</w:t>
                      </w:r>
                      <w:r>
                        <w:rPr>
                          <w:rFonts w:ascii="Arial" w:hAnsi="Arial" w:cs="Arial"/>
                          <w:lang w:val="en-US"/>
                        </w:rPr>
                        <w:t>microbial use to falls in AMR. In</w:t>
                      </w:r>
                      <w:r w:rsidRPr="003D4C10">
                        <w:rPr>
                          <w:rFonts w:ascii="Arial" w:hAnsi="Arial" w:cs="Arial"/>
                          <w:lang w:val="en-US"/>
                        </w:rPr>
                        <w:t xml:space="preserve"> Denmark and Norway, following an avoparcin (a glycopeptide antimicrobial) agricultural ban, a marked reduction in the proportion of glycopeptide-resistant enterococci (GRE) was seen in broilers from poultry farms previously exposed to avoparcin.</w:t>
                      </w:r>
                      <w:r w:rsidRPr="003D4C10">
                        <w:rPr>
                          <w:rFonts w:ascii="Arial" w:hAnsi="Arial" w:cs="Arial"/>
                          <w:lang w:val="en-US"/>
                        </w:rPr>
                        <w:fldChar w:fldCharType="begin" w:fldLock="1"/>
                      </w:r>
                      <w:r w:rsidR="009E0BAE">
                        <w:rPr>
                          <w:rFonts w:ascii="Arial" w:hAnsi="Arial" w:cs="Arial"/>
                          <w:lang w:val="en-US"/>
                        </w:rPr>
                        <w:instrText>ADDIN CSL_CITATION { "citationItems" : [ { "id" : "ITEM-1", "itemData" : { "DOI" : "10.1128/AAC.45.7.2054", "author" : [ { "dropping-particle" : "", "family" : "Aarestrup", "given" : "Frank M\u00f8ller", "non-dropping-particle" : "", "parse-names" : false, "suffix" : "" }, { "dropping-particle" : "", "family" : "Seyfarth", "given" : "Anne Mette", "non-dropping-particle" : "", "parse-names" : false, "suffix" : "" }, { "dropping-particle" : "", "family" : "Emborg", "given" : "Hanne-dorthe", "non-dropping-particle" : "", "parse-names" : false, "suffix" : "" }, { "dropping-particle" : "", "family" : "Hendriksen", "given" : "S", "non-dropping-particle" : "", "parse-names" : false, "suffix" : "" }, { "dropping-particle" : "", "family" : "Bager", "given" : "Flemming", "non-dropping-particle" : "", "parse-names" : false, "suffix" : "" }, { "dropping-particle" : "", "family" : "Pedersen", "given" : "Karl", "non-dropping-particle" : "", "parse-names" : false, "suffix" : "" }, { "dropping-particle" : "", "family" : "Hendriksem", "given" : "Rene S", "non-dropping-particle" : "", "parse-names" : false, "suffix" : "" } ], "container-title" : "Antimicrobial Agents and Chemotherapy", "id" : "ITEM-1", "issue" : "7", "issued" : { "date-parts" : [ [ "2001" ] ] }, "page" : "2054-2059", "title" : "Effect of Abolishment of the Use of Antimicrobial Agents for Growth Promotion on Occurrence of Antimicrobial Resistance in Fecal Enterococci from Food Animals in Denmark", "type" : "article-journal", "volume" : "45" }, "uris" : [ "http://www.mendeley.com/documents/?uuid=4ac94234-beaf-4b27-b0e3-5a62c5730a1c" ] } ], "mendeley" : { "formattedCitation" : "&lt;sup&gt;114&lt;/sup&gt;", "plainTextFormattedCitation" : "114", "previouslyFormattedCitation" : "&lt;sup&gt;115&lt;/sup&gt;" }, "properties" : { "noteIndex" : 0 }, "schema" : "https://github.com/citation-style-language/schema/raw/master/csl-citation.json" }</w:instrText>
                      </w:r>
                      <w:r w:rsidRPr="003D4C10">
                        <w:rPr>
                          <w:rFonts w:ascii="Arial" w:hAnsi="Arial" w:cs="Arial"/>
                          <w:lang w:val="en-US"/>
                        </w:rPr>
                        <w:fldChar w:fldCharType="separate"/>
                      </w:r>
                      <w:r w:rsidR="009E0BAE" w:rsidRPr="009E0BAE">
                        <w:rPr>
                          <w:rFonts w:ascii="Arial" w:hAnsi="Arial" w:cs="Arial"/>
                          <w:noProof/>
                          <w:vertAlign w:val="superscript"/>
                          <w:lang w:val="en-US"/>
                        </w:rPr>
                        <w:t>114</w:t>
                      </w:r>
                      <w:r w:rsidRPr="003D4C10">
                        <w:rPr>
                          <w:rFonts w:ascii="Arial" w:hAnsi="Arial" w:cs="Arial"/>
                          <w:lang w:val="en-US"/>
                        </w:rPr>
                        <w:fldChar w:fldCharType="end"/>
                      </w:r>
                      <w:r w:rsidRPr="003D4C10">
                        <w:rPr>
                          <w:rFonts w:ascii="Arial" w:hAnsi="Arial" w:cs="Arial"/>
                          <w:lang w:val="en-US"/>
                        </w:rPr>
                        <w:t xml:space="preserve"> However, whilst post-ban studies suggested that the amount of faecal GRE in broilers may have decreased significantly, the prevalence of animals colonised with GRE was still high several years after the </w:t>
                      </w:r>
                      <w:r w:rsidRPr="000D27F1">
                        <w:rPr>
                          <w:rFonts w:ascii="Arial" w:hAnsi="Arial" w:cs="Arial"/>
                          <w:highlight w:val="yellow"/>
                          <w:lang w:val="en-US"/>
                        </w:rPr>
                        <w:t>ban.</w:t>
                      </w:r>
                      <w:r>
                        <w:rPr>
                          <w:rFonts w:ascii="Arial" w:hAnsi="Arial" w:cs="Arial"/>
                          <w:highlight w:val="yellow"/>
                          <w:lang w:val="en-US"/>
                        </w:rPr>
                        <w:fldChar w:fldCharType="begin" w:fldLock="1"/>
                      </w:r>
                      <w:r w:rsidR="009E0BAE">
                        <w:rPr>
                          <w:rFonts w:ascii="Arial" w:hAnsi="Arial" w:cs="Arial"/>
                          <w:highlight w:val="yellow"/>
                          <w:lang w:val="en-US"/>
                        </w:rPr>
                        <w:instrText>ADDIN CSL_CITATION { "citationItems" : [ { "id" : "ITEM-1", "itemData" : { "ISSN" : "1364-5072", "PMID" : "11021580", "abstract" : "Avoparcin was used as a feed additive in Norwegian broiler and turkey production from 1986 until 1995. It was banned due to the selection of VanA-type vancomycin-resistant enterococci (VRE) in animal husbandry and to reduce the potential for human exposure to VRE. The aim of the present study was to investigate the prevalence of VRE carriage in Norwegian poultry farmers and their poultry three years after avoparcin was banned. Corresponding faecal samples from poultry and humans on farms where avoparcin had previously been used (exposed farms, n = 73) and farms where avoparcin had never been used (unexposed farms, n = 74) were analysed for the presence of VRE. For each farm, one sample from the poultry house and one sample from the farmer were obtained. VRE were isolated from 72 of 73 (99%) and eight of 74 (11%) poultry samples from exposed and unexposed farms, respectively. VRE were isolated from 13 of 73 (18%) and one of 74 (1%) farmer samples from exposed and unexposed farms, respectively. All VRE isolates were highly resistant to vancomycin and possessed the vanA gene, as shown by PCR. The high prevalence of VRE is in accordance with previous Norwegian studies, and shows a remarkable stability of the VanA resistance determinant in an apparently non-selective environment.", "author" : [ { "dropping-particle" : "", "family" : "Borgen", "given" : "K", "non-dropping-particle" : "", "parse-names" : false, "suffix" : "" }, { "dropping-particle" : "", "family" : "Simonsen", "given" : "G S", "non-dropping-particle" : "", "parse-names" : false, "suffix" : "" }, { "dropping-particle" : "", "family" : "Sundsfjord", "given" : "A", "non-dropping-particle" : "", "parse-names" : false, "suffix" : "" }, { "dropping-particle" : "", "family" : "Wasteson", "given" : "Y", "non-dropping-particle" : "", "parse-names" : false, "suffix" : "" }, { "dropping-particle" : "", "family" : "Olsvik", "given" : "O", "non-dropping-particle" : "", "parse-names" : false, "suffix" : "" }, { "dropping-particle" : "", "family" : "Kruse", "given" : "H", "non-dropping-particle" : "", "parse-names" : false, "suffix" : "" } ], "container-title" : "Journal of Applied Microbiology", "id" : "ITEM-1", "issue" : "3", "issued" : { "date-parts" : [ [ "2000", "9" ] ] }, "page" : "478-85", "title" : "Continuing high prevalence of VanA-type vancomycin-resistant enterococci on Norwegian poultry farms three years after avoparcin was banned.", "type" : "article-journal", "volume" : "89" }, "uris" : [ "http://www.mendeley.com/documents/?uuid=f8334a94-57a7-424d-886d-030460f51bc7" ] } ], "mendeley" : { "formattedCitation" : "&lt;sup&gt;115&lt;/sup&gt;", "plainTextFormattedCitation" : "115", "previouslyFormattedCitation" : "&lt;sup&gt;116&lt;/sup&gt;" }, "properties" : { "noteIndex" : 0 }, "schema" : "https://github.com/citation-style-language/schema/raw/master/csl-citation.json" }</w:instrText>
                      </w:r>
                      <w:r>
                        <w:rPr>
                          <w:rFonts w:ascii="Arial" w:hAnsi="Arial" w:cs="Arial"/>
                          <w:highlight w:val="yellow"/>
                          <w:lang w:val="en-US"/>
                        </w:rPr>
                        <w:fldChar w:fldCharType="separate"/>
                      </w:r>
                      <w:r w:rsidR="009E0BAE" w:rsidRPr="009E0BAE">
                        <w:rPr>
                          <w:rFonts w:ascii="Arial" w:hAnsi="Arial" w:cs="Arial"/>
                          <w:noProof/>
                          <w:highlight w:val="yellow"/>
                          <w:vertAlign w:val="superscript"/>
                          <w:lang w:val="en-US"/>
                        </w:rPr>
                        <w:t>115</w:t>
                      </w:r>
                      <w:r>
                        <w:rPr>
                          <w:rFonts w:ascii="Arial" w:hAnsi="Arial" w:cs="Arial"/>
                          <w:highlight w:val="yellow"/>
                          <w:lang w:val="en-US"/>
                        </w:rPr>
                        <w:fldChar w:fldCharType="end"/>
                      </w:r>
                      <w:r>
                        <w:rPr>
                          <w:rFonts w:ascii="Arial" w:hAnsi="Arial" w:cs="Arial"/>
                          <w:highlight w:val="yellow"/>
                          <w:lang w:val="en-US"/>
                        </w:rPr>
                        <w:t xml:space="preserve"> </w:t>
                      </w:r>
                      <w:r w:rsidRPr="000D27F1">
                        <w:rPr>
                          <w:rFonts w:ascii="Arial" w:hAnsi="Arial" w:cs="Arial"/>
                          <w:highlight w:val="yellow"/>
                          <w:lang w:val="en-US"/>
                        </w:rPr>
                        <w:t>A</w:t>
                      </w:r>
                      <w:r w:rsidRPr="003D4C10">
                        <w:rPr>
                          <w:rFonts w:ascii="Arial" w:hAnsi="Arial" w:cs="Arial"/>
                          <w:lang w:val="en-US"/>
                        </w:rPr>
                        <w:t xml:space="preserve"> similar situation is seen in pigs. In the UK after the 1971 ban of tetracycline as an animal growth promoter, the proportion of tetracycline-resistant </w:t>
                      </w:r>
                      <w:r w:rsidRPr="003D4C10">
                        <w:rPr>
                          <w:rFonts w:ascii="Arial" w:hAnsi="Arial" w:cs="Arial"/>
                          <w:i/>
                          <w:lang w:val="en-US"/>
                        </w:rPr>
                        <w:t>E. coli</w:t>
                      </w:r>
                      <w:r w:rsidRPr="003D4C10">
                        <w:rPr>
                          <w:rFonts w:ascii="Arial" w:hAnsi="Arial" w:cs="Arial"/>
                          <w:lang w:val="en-US"/>
                        </w:rPr>
                        <w:t xml:space="preserve"> isolated from the exposed pig population decreased, but the prevalence of colonised pigs remained at 100% several years later.</w:t>
                      </w:r>
                      <w:r w:rsidRPr="003D4C10">
                        <w:rPr>
                          <w:rFonts w:ascii="Arial" w:hAnsi="Arial" w:cs="Arial"/>
                          <w:lang w:val="en-US"/>
                        </w:rPr>
                        <w:fldChar w:fldCharType="begin" w:fldLock="1"/>
                      </w:r>
                      <w:r w:rsidR="009E0BAE">
                        <w:rPr>
                          <w:rFonts w:ascii="Arial" w:hAnsi="Arial" w:cs="Arial"/>
                          <w:lang w:val="en-US"/>
                        </w:rPr>
                        <w:instrText>ADDIN CSL_CITATION { "citationItems" : [ { "id" : "ITEM-1", "itemData" : { "ISSN" : "0028-0836", "PMID" : "1107850", "author" : [ { "dropping-particle" : "", "family" : "Smith", "given" : "H W", "non-dropping-particle" : "", "parse-names" : false, "suffix" : "" } ], "container-title" : "Nature", "id" : "ITEM-1", "issue" : "5536", "issued" : { "date-parts" : [ [ "1975", "12", "18" ] ] }, "page" : "628-30", "title" : "Persistence of tetracycline resistance in pig E. coli.", "type" : "article-journal", "volume" : "258" }, "uris" : [ "http://www.mendeley.com/documents/?uuid=af191941-6b9c-4497-a350-b1e2d817458e" ] } ], "mendeley" : { "formattedCitation" : "&lt;sup&gt;116&lt;/sup&gt;", "plainTextFormattedCitation" : "116", "previouslyFormattedCitation" : "&lt;sup&gt;117&lt;/sup&gt;" }, "properties" : { "noteIndex" : 0 }, "schema" : "https://github.com/citation-style-language/schema/raw/master/csl-citation.json" }</w:instrText>
                      </w:r>
                      <w:r w:rsidRPr="003D4C10">
                        <w:rPr>
                          <w:rFonts w:ascii="Arial" w:hAnsi="Arial" w:cs="Arial"/>
                          <w:lang w:val="en-US"/>
                        </w:rPr>
                        <w:fldChar w:fldCharType="separate"/>
                      </w:r>
                      <w:r w:rsidR="009E0BAE" w:rsidRPr="009E0BAE">
                        <w:rPr>
                          <w:rFonts w:ascii="Arial" w:hAnsi="Arial" w:cs="Arial"/>
                          <w:noProof/>
                          <w:vertAlign w:val="superscript"/>
                          <w:lang w:val="en-US"/>
                        </w:rPr>
                        <w:t>116</w:t>
                      </w:r>
                      <w:r w:rsidRPr="003D4C10">
                        <w:rPr>
                          <w:rFonts w:ascii="Arial" w:hAnsi="Arial" w:cs="Arial"/>
                          <w:lang w:val="en-US"/>
                        </w:rPr>
                        <w:fldChar w:fldCharType="end"/>
                      </w:r>
                      <w:r w:rsidRPr="003D4C10">
                        <w:rPr>
                          <w:rFonts w:ascii="Arial" w:hAnsi="Arial" w:cs="Arial"/>
                          <w:lang w:val="en-US"/>
                        </w:rPr>
                        <w:t xml:space="preserve"> </w:t>
                      </w:r>
                    </w:p>
                    <w:p w14:paraId="5164809A" w14:textId="77777777" w:rsidR="008F211C" w:rsidRPr="003D4C10" w:rsidRDefault="008F211C" w:rsidP="00A053CE">
                      <w:pPr>
                        <w:rPr>
                          <w:rFonts w:ascii="Arial" w:hAnsi="Arial" w:cs="Arial"/>
                          <w:lang w:val="en-US"/>
                        </w:rPr>
                      </w:pPr>
                    </w:p>
                    <w:p w14:paraId="71DEFE51" w14:textId="4C3256CA" w:rsidR="008F211C" w:rsidRPr="003D4C10" w:rsidRDefault="008F211C" w:rsidP="00A053CE">
                      <w:pPr>
                        <w:rPr>
                          <w:rFonts w:ascii="Arial" w:hAnsi="Arial" w:cs="Arial"/>
                          <w:lang w:val="en-US"/>
                        </w:rPr>
                      </w:pPr>
                      <w:r>
                        <w:rPr>
                          <w:rFonts w:ascii="Arial" w:hAnsi="Arial" w:cs="Arial"/>
                          <w:lang w:val="en-US"/>
                        </w:rPr>
                        <w:t>Yet importantly r</w:t>
                      </w:r>
                      <w:r w:rsidRPr="003D4C10">
                        <w:rPr>
                          <w:rFonts w:ascii="Arial" w:hAnsi="Arial" w:cs="Arial"/>
                          <w:lang w:val="en-US"/>
                        </w:rPr>
                        <w:t xml:space="preserve">educing animal antimicrobial use may not alter production volumes. </w:t>
                      </w:r>
                      <w:r>
                        <w:rPr>
                          <w:rFonts w:ascii="Arial" w:hAnsi="Arial" w:cs="Arial"/>
                          <w:lang w:val="en-US"/>
                        </w:rPr>
                        <w:t>T</w:t>
                      </w:r>
                      <w:r w:rsidRPr="003D4C10">
                        <w:rPr>
                          <w:rFonts w:ascii="Arial" w:hAnsi="Arial" w:cs="Arial"/>
                          <w:lang w:val="en-US"/>
                        </w:rPr>
                        <w:t>he avoparcin ban for antimicrobial growth-promotion noted above had no deleterious effect on production volume.</w:t>
                      </w:r>
                      <w:r w:rsidRPr="003D4C10">
                        <w:rPr>
                          <w:rFonts w:ascii="Arial" w:hAnsi="Arial" w:cs="Arial"/>
                          <w:lang w:val="en-US"/>
                        </w:rPr>
                        <w:fldChar w:fldCharType="begin" w:fldLock="1"/>
                      </w:r>
                      <w:r w:rsidR="009E0BAE">
                        <w:rPr>
                          <w:rFonts w:ascii="Arial" w:hAnsi="Arial" w:cs="Arial"/>
                          <w:lang w:val="en-US"/>
                        </w:rPr>
                        <w:instrText>ADDIN CSL_CITATION { "citationItems" : [ { "id" : "ITEM-1", "itemData" : { "ISBN" : "4535300100", "author" : [ { "dropping-particle" : "", "family" : "Emborg", "given" : "Hanne-dorthe", "non-dropping-particle" : "", "parse-names" : false, "suffix" : "" }, { "dropping-particle" : "", "family" : "Ersboll", "given" : "Annette Kjaer", "non-dropping-particle" : "", "parse-names" : false, "suffix" : "" }, { "dropping-particle" : "", "family" : "Heuer", "given" : "Ole Eske", "non-dropping-particle" : "", "parse-names" : false, "suffix" : "" }, { "dropping-particle" : "", "family" : "Wegener", "given" : "Henrik Caspar", "non-dropping-particle" : "", "parse-names" : false, "suffix" : "" } ], "container-title" : "Preventative Veterinary Medicine", "id" : "ITEM-1", "issued" : { "date-parts" : [ [ "2001" ] ] }, "page" : "53-70", "title" : "The effect of discontinuing the use of antimicrobial growth promoters on the productivity in the Danish broiler production", "type" : "article-journal", "volume" : "50" }, "uris" : [ "http://www.mendeley.com/documents/?uuid=b3ee5718-71c6-4598-a959-e8bd83728ed9" ] } ], "mendeley" : { "formattedCitation" : "&lt;sup&gt;117&lt;/sup&gt;", "plainTextFormattedCitation" : "117", "previouslyFormattedCitation" : "&lt;sup&gt;118&lt;/sup&gt;" }, "properties" : { "noteIndex" : 0 }, "schema" : "https://github.com/citation-style-language/schema/raw/master/csl-citation.json" }</w:instrText>
                      </w:r>
                      <w:r w:rsidRPr="003D4C10">
                        <w:rPr>
                          <w:rFonts w:ascii="Arial" w:hAnsi="Arial" w:cs="Arial"/>
                          <w:lang w:val="en-US"/>
                        </w:rPr>
                        <w:fldChar w:fldCharType="separate"/>
                      </w:r>
                      <w:r w:rsidR="009E0BAE" w:rsidRPr="009E0BAE">
                        <w:rPr>
                          <w:rFonts w:ascii="Arial" w:hAnsi="Arial" w:cs="Arial"/>
                          <w:noProof/>
                          <w:vertAlign w:val="superscript"/>
                          <w:lang w:val="en-US"/>
                        </w:rPr>
                        <w:t>117</w:t>
                      </w:r>
                      <w:r w:rsidRPr="003D4C10">
                        <w:rPr>
                          <w:rFonts w:ascii="Arial" w:hAnsi="Arial" w:cs="Arial"/>
                          <w:lang w:val="en-US"/>
                        </w:rPr>
                        <w:fldChar w:fldCharType="end"/>
                      </w:r>
                      <w:r w:rsidRPr="003D4C10">
                        <w:rPr>
                          <w:rFonts w:ascii="Arial" w:hAnsi="Arial" w:cs="Arial"/>
                          <w:lang w:val="en-US"/>
                        </w:rPr>
                        <w:t xml:space="preserve"> Similarly among Danish pigs, a 60% reduction in pig antimicrobial consumption had no negative effect on productivity</w:t>
                      </w:r>
                      <w:r w:rsidRPr="000D27F1">
                        <w:rPr>
                          <w:rFonts w:ascii="Arial" w:hAnsi="Arial" w:cs="Arial"/>
                          <w:highlight w:val="yellow"/>
                          <w:lang w:val="en-US"/>
                        </w:rPr>
                        <w:t>.</w:t>
                      </w:r>
                      <w:r w:rsidRPr="000D27F1">
                        <w:rPr>
                          <w:rFonts w:ascii="Arial" w:hAnsi="Arial" w:cs="Arial"/>
                          <w:highlight w:val="yellow"/>
                          <w:lang w:val="en-US"/>
                        </w:rPr>
                        <w:fldChar w:fldCharType="begin" w:fldLock="1"/>
                      </w:r>
                      <w:r w:rsidR="009E0BAE">
                        <w:rPr>
                          <w:rFonts w:ascii="Arial" w:hAnsi="Arial" w:cs="Arial"/>
                          <w:highlight w:val="yellow"/>
                          <w:lang w:val="en-US"/>
                        </w:rPr>
                        <w:instrText>ADDIN CSL_CITATION { "citationItems" : [ { "id" : "ITEM-1", "itemData" : { "DOI" : "10.2460/ajvr.71.7.726", "ISSN" : "0002-9645", "PMID" : "20594073", "abstract" : "OBJECTIVE: To evaluate changes in antimicrobial consumption and productivity by Danish swine farms during 1992 to 2008. SAMPLE POPULATION: All Danish swine farms for antimicrobial consumption data and a representative sample of Danish swine herds for productivity data. PROCEDURES: Antimicrobial consumption by Danish swine farms from 1992 to 2008 was determined and evaluated in light of policies to regulate antimicrobial consumption, changes in disease patterns, and productivity data. Trend analyses of productivity data were conducted before and after a ban on use of antimicrobial growth promoters (AGPs). Results-Antimicrobial consumption peaked at 100 mg/kg of swine produced in 1992, decreased to 31 mg/kg in 1999, and increased to 49 mg/kg in 2008. Key factors for changes were regulations banning subtherapeutic use of antimicrobials and veterinary profits from the prescription and sale of antimicrobials in 1994 and termination of AGP use by January 2000. Pig production increased from 18.4 to 271 million pigs, and the mean number of pigs per sow per year raised for slaughter increased from 21 in 1992 to 25 in 2007 Average daily gain for weaning (&lt; 35 kg) and finishing (&gt; 35 kg) pigs was higher in 2008 than in 1992, but mortality rates for weaning and finishing pigs were similar in 1992 and 2008. CONCLUSIONS AND CLINICAL RELEVANCE: From 1992 to 2008, antimicrobial consumption per kilogram of pig produced in Denmark decreased by &gt; 50%. Furthermore, there was improvement in productivity, suggesting that long-term swine productivity was not negatively impacted by a ban on AGP use.", "author" : [ { "dropping-particle" : "", "family" : "Aarestrup", "given" : "Frank M", "non-dropping-particle" : "", "parse-names" : false, "suffix" : "" }, { "dropping-particle" : "", "family" : "Jensen", "given" : "Vibeke F", "non-dropping-particle" : "", "parse-names" : false, "suffix" : "" }, { "dropping-particle" : "", "family" : "Emborg", "given" : "Hanne-Dorthe", "non-dropping-particle" : "", "parse-names" : false, "suffix" : "" }, { "dropping-particle" : "", "family" : "Jacobsen", "given" : "Erik", "non-dropping-particle" : "", "parse-names" : false, "suffix" : "" }, { "dropping-particle" : "", "family" : "Wegener", "given" : "Henrik C", "non-dropping-particle" : "", "parse-names" : false, "suffix" : "" } ], "container-title" : "American Journal of Veterinary Research", "id" : "ITEM-1", "issue" : "7", "issued" : { "date-parts" : [ [ "2010", "7" ] ] }, "page" : "726-33", "title" : "Changes in the use of antimicrobials and the effects on productivity of swine farms in Denmark.", "type" : "article-journal", "volume" : "71" }, "uris" : [ "http://www.mendeley.com/documents/?uuid=157c9f90-c02d-4150-b4db-adc807174ccc" ] } ], "mendeley" : { "formattedCitation" : "&lt;sup&gt;118&lt;/sup&gt;", "plainTextFormattedCitation" : "118", "previouslyFormattedCitation" : "&lt;sup&gt;119&lt;/sup&gt;" }, "properties" : { "noteIndex" : 0 }, "schema" : "https://github.com/citation-style-language/schema/raw/master/csl-citation.json" }</w:instrText>
                      </w:r>
                      <w:r w:rsidRPr="000D27F1">
                        <w:rPr>
                          <w:rFonts w:ascii="Arial" w:hAnsi="Arial" w:cs="Arial"/>
                          <w:highlight w:val="yellow"/>
                          <w:lang w:val="en-US"/>
                        </w:rPr>
                        <w:fldChar w:fldCharType="separate"/>
                      </w:r>
                      <w:r w:rsidR="009E0BAE" w:rsidRPr="009E0BAE">
                        <w:rPr>
                          <w:rFonts w:ascii="Arial" w:hAnsi="Arial" w:cs="Arial"/>
                          <w:noProof/>
                          <w:highlight w:val="yellow"/>
                          <w:vertAlign w:val="superscript"/>
                          <w:lang w:val="en-US"/>
                        </w:rPr>
                        <w:t>118</w:t>
                      </w:r>
                      <w:r w:rsidRPr="000D27F1">
                        <w:rPr>
                          <w:rFonts w:ascii="Arial" w:hAnsi="Arial" w:cs="Arial"/>
                          <w:highlight w:val="yellow"/>
                          <w:lang w:val="en-US"/>
                        </w:rPr>
                        <w:fldChar w:fldCharType="end"/>
                      </w:r>
                      <w:r w:rsidRPr="003D4C10">
                        <w:rPr>
                          <w:rFonts w:ascii="Arial" w:hAnsi="Arial" w:cs="Arial"/>
                          <w:lang w:val="en-US"/>
                        </w:rPr>
                        <w:t xml:space="preserve"> However the European ban on antimicrobials as growth promoters has seen a modest increase in infections, and an attributable increase in therapeutic use of antimicrobials in classes of direct importance to human healt</w:t>
                      </w:r>
                      <w:r w:rsidRPr="00927579">
                        <w:rPr>
                          <w:rFonts w:ascii="Arial" w:hAnsi="Arial" w:cs="Arial"/>
                          <w:lang w:val="en-US"/>
                        </w:rPr>
                        <w:t>h.</w:t>
                      </w:r>
                      <w:r w:rsidRPr="00927579">
                        <w:rPr>
                          <w:rFonts w:ascii="Arial" w:hAnsi="Arial" w:cs="Arial"/>
                          <w:lang w:val="en-US"/>
                        </w:rPr>
                        <w:fldChar w:fldCharType="begin" w:fldLock="1"/>
                      </w:r>
                      <w:r w:rsidR="009E0BAE">
                        <w:rPr>
                          <w:rFonts w:ascii="Arial" w:hAnsi="Arial" w:cs="Arial"/>
                          <w:lang w:val="en-US"/>
                        </w:rPr>
                        <w:instrText>ADDIN CSL_CITATION { "citationItems" : [ { "id" : "ITEM-1", "itemData" : { "DOI" : "10.1017/S095026880700814X", "ISSN" : "0950-2688", "PMID" : "17335634", "abstract" : "This study estimated the effect of discontinued use of antimicrobial growth promoters (duAGPs) on the risk of antibiotic treatment for diarrhoea, arthritis, pneumonia, unthriving and miscellaneous disorders in Danish pig farms. The estimation was done in a case-crossover study comparing: (1) the proportion of days per farm where treatment was performed (PDT) and (2) the proportion of pigs treated per day per farm at days where treatment was performed (PPT) before and after duAGPs at 68 farrow-to-finish farms. The farms were selected using a two-stage (veterinarian/farm) convenience sampling. On average, during the first year after duAGPs there was a significant increase in the risk of antibiotic treatment for diarrhoea (PDT: OR 2.5, 95% CI 1.7-3.8; PPT: OR 1.6, 95% CI 1.1-2.2). However, the effect varied among farms--some farms experienced substantial problems, while others experienced few problems after duAGPs. No effect was identified for the risk of treatment for other diseases.", "author" : [ { "dropping-particle" : "", "family" : "Vigre", "given" : "H", "non-dropping-particle" : "", "parse-names" : false, "suffix" : "" }, { "dropping-particle" : "", "family" : "Larsen", "given" : "P B", "non-dropping-particle" : "", "parse-names" : false, "suffix" : "" }, { "dropping-particle" : "", "family" : "Andreasen", "given" : "M", "non-dropping-particle" : "", "parse-names" : false, "suffix" : "" }, { "dropping-particle" : "", "family" : "Christensen", "given" : "J", "non-dropping-particle" : "", "parse-names" : false, "suffix" : "" }, { "dropping-particle" : "", "family" : "Jorsal", "given" : "S E", "non-dropping-particle" : "", "parse-names" : false, "suffix" : "" } ], "container-title" : "Epidemiology and Infection", "id" : "ITEM-1", "issue" : "1", "issued" : { "date-parts" : [ [ "2008", "1" ] ] }, "page" : "92-107", "title" : "The effect of discontinued use of antimicrobial growth promoters on the risk of therapeutic antibiotic treatment in Danish farrow-to-finish pig farms.", "type" : "article-journal", "volume" : "136" }, "uris" : [ "http://www.mendeley.com/documents/?uuid=9d39147d-2376-46b2-a0cf-86998712906c" ] } ], "mendeley" : { "formattedCitation" : "&lt;sup&gt;119&lt;/sup&gt;", "plainTextFormattedCitation" : "119", "previouslyFormattedCitation" : "&lt;sup&gt;120&lt;/sup&gt;" }, "properties" : { "noteIndex" : 0 }, "schema" : "https://github.com/citation-style-language/schema/raw/master/csl-citation.json" }</w:instrText>
                      </w:r>
                      <w:r w:rsidRPr="00927579">
                        <w:rPr>
                          <w:rFonts w:ascii="Arial" w:hAnsi="Arial" w:cs="Arial"/>
                          <w:lang w:val="en-US"/>
                        </w:rPr>
                        <w:fldChar w:fldCharType="separate"/>
                      </w:r>
                      <w:r w:rsidR="009E0BAE" w:rsidRPr="009E0BAE">
                        <w:rPr>
                          <w:rFonts w:ascii="Arial" w:hAnsi="Arial" w:cs="Arial"/>
                          <w:noProof/>
                          <w:vertAlign w:val="superscript"/>
                          <w:lang w:val="en-US"/>
                        </w:rPr>
                        <w:t>119</w:t>
                      </w:r>
                      <w:r w:rsidRPr="00927579">
                        <w:rPr>
                          <w:rFonts w:ascii="Arial" w:hAnsi="Arial" w:cs="Arial"/>
                          <w:lang w:val="en-US"/>
                        </w:rPr>
                        <w:fldChar w:fldCharType="end"/>
                      </w:r>
                      <w:r w:rsidRPr="003D4C10" w:rsidDel="0028774E">
                        <w:rPr>
                          <w:rFonts w:ascii="Arial" w:hAnsi="Arial" w:cs="Arial"/>
                          <w:lang w:val="en-US"/>
                        </w:rPr>
                        <w:t xml:space="preserve"> </w:t>
                      </w:r>
                    </w:p>
                    <w:p w14:paraId="4C505550" w14:textId="77777777" w:rsidR="008F211C" w:rsidRPr="003D4C10" w:rsidRDefault="008F211C" w:rsidP="00A053CE">
                      <w:pPr>
                        <w:rPr>
                          <w:rFonts w:ascii="Arial" w:hAnsi="Arial" w:cs="Arial"/>
                          <w:lang w:val="en-US"/>
                        </w:rPr>
                      </w:pPr>
                    </w:p>
                    <w:p w14:paraId="74E25A09" w14:textId="24061CE3" w:rsidR="008F211C" w:rsidRPr="003D4C10" w:rsidRDefault="008F211C" w:rsidP="00A053CE">
                      <w:pPr>
                        <w:rPr>
                          <w:rFonts w:ascii="Arial" w:hAnsi="Arial" w:cs="Arial"/>
                          <w:lang w:val="en-US"/>
                        </w:rPr>
                      </w:pPr>
                      <w:r w:rsidRPr="003D4C10">
                        <w:rPr>
                          <w:rFonts w:ascii="Arial" w:hAnsi="Arial" w:cs="Arial"/>
                          <w:lang w:val="en-US"/>
                        </w:rPr>
                        <w:t>Whilst reduction in animal antimicrobial use may not clearly decrease AMR, it will delay further development and spread, without adversely affecting production volumes. Policies to restrict novel classes to either animal or human health may further help prevent the crossover of resistance.</w:t>
                      </w:r>
                    </w:p>
                  </w:txbxContent>
                </v:textbox>
              </v:shape>
            </w:pict>
          </mc:Fallback>
        </mc:AlternateContent>
      </w:r>
    </w:p>
    <w:p w14:paraId="6F856E46" w14:textId="77777777" w:rsidR="00190410" w:rsidRPr="000767AE" w:rsidRDefault="00190410" w:rsidP="00A053CE">
      <w:pPr>
        <w:pStyle w:val="NormalWeb"/>
        <w:ind w:left="640" w:hanging="640"/>
        <w:divId w:val="1073503928"/>
      </w:pPr>
    </w:p>
    <w:p w14:paraId="6CE46B3D" w14:textId="77777777" w:rsidR="00190410" w:rsidRPr="000767AE" w:rsidRDefault="00190410" w:rsidP="00A053CE">
      <w:pPr>
        <w:pStyle w:val="NormalWeb"/>
        <w:ind w:left="640" w:hanging="640"/>
        <w:divId w:val="1073503928"/>
      </w:pPr>
    </w:p>
    <w:p w14:paraId="11F2EE16" w14:textId="77777777" w:rsidR="00190410" w:rsidRPr="000767AE" w:rsidRDefault="00190410" w:rsidP="00A053CE">
      <w:pPr>
        <w:pStyle w:val="NormalWeb"/>
        <w:ind w:left="640" w:hanging="640"/>
        <w:divId w:val="1073503928"/>
      </w:pPr>
    </w:p>
    <w:p w14:paraId="2FA47D43" w14:textId="77777777" w:rsidR="00190410" w:rsidRPr="000767AE" w:rsidRDefault="00190410" w:rsidP="00A053CE">
      <w:pPr>
        <w:pStyle w:val="NormalWeb"/>
        <w:ind w:left="640" w:hanging="640"/>
        <w:divId w:val="1073503928"/>
      </w:pPr>
    </w:p>
    <w:p w14:paraId="546640D1" w14:textId="77777777" w:rsidR="00190410" w:rsidRPr="000767AE" w:rsidRDefault="00190410" w:rsidP="00A053CE">
      <w:pPr>
        <w:pStyle w:val="NormalWeb"/>
        <w:ind w:left="640" w:hanging="640"/>
        <w:divId w:val="1073503928"/>
      </w:pPr>
    </w:p>
    <w:p w14:paraId="71D164B8" w14:textId="77777777" w:rsidR="00190410" w:rsidRPr="000767AE" w:rsidRDefault="00190410" w:rsidP="00A053CE">
      <w:pPr>
        <w:pStyle w:val="NormalWeb"/>
        <w:ind w:left="640" w:hanging="640"/>
        <w:divId w:val="1073503928"/>
      </w:pPr>
    </w:p>
    <w:p w14:paraId="0911DC09" w14:textId="77777777" w:rsidR="00190410" w:rsidRPr="000767AE" w:rsidRDefault="00190410" w:rsidP="00A053CE">
      <w:pPr>
        <w:pStyle w:val="NormalWeb"/>
        <w:ind w:left="640" w:hanging="640"/>
        <w:divId w:val="1073503928"/>
      </w:pPr>
    </w:p>
    <w:p w14:paraId="0D32FC0C" w14:textId="77777777" w:rsidR="00190410" w:rsidRPr="000767AE" w:rsidRDefault="00190410" w:rsidP="00A053CE">
      <w:pPr>
        <w:pStyle w:val="NormalWeb"/>
        <w:ind w:left="640" w:hanging="640"/>
        <w:divId w:val="1073503928"/>
      </w:pPr>
    </w:p>
    <w:p w14:paraId="77FC035D" w14:textId="77777777" w:rsidR="00190410" w:rsidRPr="000767AE" w:rsidRDefault="00190410" w:rsidP="00A053CE">
      <w:pPr>
        <w:pStyle w:val="NormalWeb"/>
        <w:ind w:left="640" w:hanging="640"/>
        <w:divId w:val="1073503928"/>
      </w:pPr>
    </w:p>
    <w:p w14:paraId="1A1A1108" w14:textId="77777777" w:rsidR="00190410" w:rsidRPr="000767AE" w:rsidRDefault="00190410" w:rsidP="00A053CE">
      <w:pPr>
        <w:pStyle w:val="NormalWeb"/>
        <w:ind w:left="640" w:hanging="640"/>
        <w:divId w:val="1073503928"/>
      </w:pPr>
    </w:p>
    <w:p w14:paraId="750C1853" w14:textId="77777777" w:rsidR="00190410" w:rsidRPr="000767AE" w:rsidRDefault="00190410" w:rsidP="00A053CE">
      <w:pPr>
        <w:pStyle w:val="NormalWeb"/>
        <w:ind w:left="640" w:hanging="640"/>
        <w:divId w:val="1073503928"/>
      </w:pPr>
    </w:p>
    <w:p w14:paraId="6C0E1FBC" w14:textId="77777777" w:rsidR="00190410" w:rsidRPr="000767AE" w:rsidRDefault="00190410" w:rsidP="00A053CE">
      <w:pPr>
        <w:pStyle w:val="NormalWeb"/>
        <w:ind w:left="640" w:hanging="640"/>
        <w:divId w:val="1073503928"/>
      </w:pPr>
    </w:p>
    <w:p w14:paraId="74E46B9A" w14:textId="77777777" w:rsidR="00190410" w:rsidRPr="000767AE" w:rsidRDefault="00190410" w:rsidP="00A053CE">
      <w:pPr>
        <w:pStyle w:val="NormalWeb"/>
        <w:ind w:left="640" w:hanging="640"/>
        <w:divId w:val="1073503928"/>
      </w:pPr>
    </w:p>
    <w:p w14:paraId="7A00D9F8" w14:textId="77777777" w:rsidR="00190410" w:rsidRPr="000767AE" w:rsidRDefault="00190410" w:rsidP="00A053CE">
      <w:pPr>
        <w:pStyle w:val="NormalWeb"/>
        <w:ind w:left="640" w:hanging="640"/>
        <w:divId w:val="1073503928"/>
      </w:pPr>
    </w:p>
    <w:p w14:paraId="0DB6F602" w14:textId="77777777" w:rsidR="00190410" w:rsidRPr="000767AE" w:rsidRDefault="00190410" w:rsidP="00A053CE">
      <w:pPr>
        <w:pStyle w:val="NormalWeb"/>
        <w:ind w:left="640" w:hanging="640"/>
        <w:divId w:val="1073503928"/>
        <w:sectPr w:rsidR="00190410" w:rsidRPr="000767AE" w:rsidSect="007734F8">
          <w:pgSz w:w="16838" w:h="11906" w:orient="landscape"/>
          <w:pgMar w:top="562" w:right="1440" w:bottom="567" w:left="1440" w:header="284" w:footer="161" w:gutter="0"/>
          <w:lnNumType w:countBy="1" w:restart="continuous"/>
          <w:cols w:space="708"/>
          <w:docGrid w:linePitch="360"/>
        </w:sectPr>
      </w:pPr>
    </w:p>
    <w:p w14:paraId="3F086865" w14:textId="532CE55C" w:rsidR="00190410" w:rsidRPr="000767AE" w:rsidRDefault="00224782" w:rsidP="00386E99">
      <w:pPr>
        <w:pStyle w:val="NormalWeb"/>
        <w:divId w:val="1073503928"/>
        <w:rPr>
          <w:rFonts w:ascii="Arial" w:hAnsi="Arial" w:cs="Arial"/>
          <w:b/>
          <w:lang w:val="en-US"/>
        </w:rPr>
      </w:pPr>
      <w:r w:rsidRPr="000767AE">
        <w:rPr>
          <w:noProof/>
        </w:rPr>
        <w:lastRenderedPageBreak/>
        <mc:AlternateContent>
          <mc:Choice Requires="wps">
            <w:drawing>
              <wp:anchor distT="0" distB="0" distL="114300" distR="114300" simplePos="0" relativeHeight="251698176" behindDoc="0" locked="0" layoutInCell="1" allowOverlap="1" wp14:anchorId="6243C201" wp14:editId="7AD56E8B">
                <wp:simplePos x="0" y="0"/>
                <wp:positionH relativeFrom="column">
                  <wp:posOffset>8626</wp:posOffset>
                </wp:positionH>
                <wp:positionV relativeFrom="paragraph">
                  <wp:posOffset>405442</wp:posOffset>
                </wp:positionV>
                <wp:extent cx="5891842" cy="7185803"/>
                <wp:effectExtent l="0" t="0" r="13970" b="1524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842" cy="7185803"/>
                        </a:xfrm>
                        <a:prstGeom prst="rect">
                          <a:avLst/>
                        </a:prstGeom>
                        <a:solidFill>
                          <a:srgbClr val="FFFFFF"/>
                        </a:solidFill>
                        <a:ln w="9525">
                          <a:solidFill>
                            <a:srgbClr val="000000"/>
                          </a:solidFill>
                          <a:miter lim="800000"/>
                          <a:headEnd/>
                          <a:tailEnd/>
                        </a:ln>
                      </wps:spPr>
                      <wps:txbx>
                        <w:txbxContent>
                          <w:p w14:paraId="70AB82FB" w14:textId="75C71ED4" w:rsidR="008F211C" w:rsidRPr="003D4C10" w:rsidRDefault="008F211C" w:rsidP="00F62B94">
                            <w:pPr>
                              <w:rPr>
                                <w:rFonts w:ascii="Arial" w:hAnsi="Arial" w:cs="Arial"/>
                                <w:lang w:eastAsia="en-GB"/>
                              </w:rPr>
                            </w:pPr>
                            <w:r w:rsidRPr="003D4C10">
                              <w:rPr>
                                <w:rFonts w:ascii="Arial" w:hAnsi="Arial" w:cs="Arial"/>
                                <w:b/>
                                <w:lang w:val="en-US"/>
                              </w:rPr>
                              <w:t xml:space="preserve">Maintain heterogeneity of antimicrobial agents; </w:t>
                            </w:r>
                            <w:r w:rsidRPr="003D4C10">
                              <w:rPr>
                                <w:rFonts w:ascii="Arial" w:hAnsi="Arial" w:cs="Arial"/>
                                <w:lang w:val="en-US"/>
                              </w:rPr>
                              <w:t>excessively homogenous antimicrobial use may contribute to selective pressure.</w:t>
                            </w:r>
                            <w:r w:rsidRPr="003D4C10">
                              <w:rPr>
                                <w:rFonts w:ascii="Arial" w:hAnsi="Arial" w:cs="Arial"/>
                                <w:b/>
                                <w:lang w:val="en-US"/>
                              </w:rPr>
                              <w:t xml:space="preserve"> </w:t>
                            </w:r>
                            <w:r w:rsidRPr="003D4C10">
                              <w:rPr>
                                <w:rFonts w:ascii="Arial" w:hAnsi="Arial" w:cs="Arial"/>
                                <w:lang w:val="en-US"/>
                              </w:rPr>
                              <w:t xml:space="preserve">Maintaining prescribing diversity can be achieved through several methods. One such is drug cycling (replacing an antimicrobial belonging to one class with one or more belonging to different classes, sequentially,  at the level of the </w:t>
                            </w:r>
                            <w:r w:rsidRPr="003D4C10">
                              <w:rPr>
                                <w:rFonts w:ascii="Arial" w:hAnsi="Arial" w:cs="Arial"/>
                                <w:lang w:eastAsia="en-GB"/>
                              </w:rPr>
                              <w:t>unit or hospital)</w:t>
                            </w:r>
                            <w:r w:rsidRPr="00540248">
                              <w:rPr>
                                <w:rFonts w:ascii="Arial" w:hAnsi="Arial" w:cs="Arial"/>
                                <w:highlight w:val="yellow"/>
                                <w:lang w:eastAsia="en-GB"/>
                              </w:rPr>
                              <w:t>.</w:t>
                            </w:r>
                            <w:r w:rsidRPr="003D4C10">
                              <w:rPr>
                                <w:rFonts w:ascii="Arial" w:hAnsi="Arial" w:cs="Arial"/>
                                <w:lang w:val="en-US"/>
                              </w:rPr>
                              <w:t xml:space="preserve"> However, cycling may only be useful if implemented before resistance to the replacement drug has emerged or if resistance to the first drug imposes a fitness cost.</w:t>
                            </w:r>
                            <w:r w:rsidRPr="003D4C10">
                              <w:rPr>
                                <w:rFonts w:ascii="Arial" w:hAnsi="Arial" w:cs="Arial"/>
                                <w:lang w:val="en-US"/>
                              </w:rPr>
                              <w:fldChar w:fldCharType="begin" w:fldLock="1"/>
                            </w:r>
                            <w:r w:rsidR="009E0BAE">
                              <w:rPr>
                                <w:rFonts w:ascii="Arial" w:hAnsi="Arial" w:cs="Arial"/>
                                <w:lang w:val="en-US"/>
                              </w:rPr>
                              <w:instrText>ADDIN CSL_CITATION { "citationItems" : [ { "id" : "ITEM-1", "itemData" : { "DOI" : "10.1371/journal.ppat.1000541", "ISSN" : "1553-7374", "PMID" : "19662169", "abstract" : "Fluoroquinolones are antibacterial drugs that inhibit DNA Gyrase and Topoisomerase IV. These essential enzymes facilitate chromosome replication and RNA transcription by regulating chromosome supercoiling. High-level resistance to fluoroquinolones in E. coli requires the accumulation of multiple mutations, including those that alter target genes and genes regulating drug efflux. Previous studies have shown some drug-resistance mutations reduce bacterial fitness, leading to the selection of fitness-compensatory mutations. The impact of fluoroquinolone-resistance on bacterial fitness was analyzed in constructed isogenic strains carrying up to 5 resistance mutations. Some mutations significantly decreased bacterial fitness both in vitro and in vivo. We identified low-fitness triple-mutants where the acquisition of a fourth resistance mutation significantly increased fitness in vitro and in vivo while at the same time dramatically decreasing drug susceptibility. The largest effect occurred with the addition of a parC mutation (Topoisomerase IV) to a low-fitness strain carrying resistance mutations in gyrA (DNA Gyrase) and marR (drug efflux regulation). Increased fitness was accompanied by a significant change in the level of gyrA promoter activity as measured in an assay of DNA supercoiling. In selection and competition experiments made in the absence of drug, parC mutants that improved fitness and reduced susceptibility were selected. These data suggest that natural selection for improved growth in bacteria with low-level resistance to fluoroquinolones could in some cases select for further reductions in drug susceptibility. Thus, increased resistance to fluoroquinolones could be selected even in the absence of further exposure to the drug.", "author" : [ { "dropping-particle" : "", "family" : "Marcusson", "given" : "Linda L", "non-dropping-particle" : "", "parse-names" : false, "suffix" : "" }, { "dropping-particle" : "", "family" : "Frimodt-M\u00f8ller", "given" : "Niels", "non-dropping-particle" : "", "parse-names" : false, "suffix" : "" }, { "dropping-particle" : "", "family" : "Hughes", "given" : "Diarmaid", "non-dropping-particle" : "", "parse-names" : false, "suffix" : "" } ], "container-title" : "PLoS Pathogens", "id" : "ITEM-1", "issue" : "8", "issued" : { "date-parts" : [ [ "2009", "8" ] ] }, "page" : "e1000541", "title" : "Interplay in the selection of fluoroquinolone resistance and bacterial fitness.", "type" : "article-journal", "volume" : "5" }, "uris" : [ "http://www.mendeley.com/documents/?uuid=a17e9f5c-d97b-4680-af7d-d0ef9d9f584d" ] } ], "mendeley" : { "formattedCitation" : "&lt;sup&gt;77&lt;/sup&gt;", "plainTextFormattedCitation" : "77", "previouslyFormattedCitation" : "&lt;sup&gt;78&lt;/sup&gt;" }, "properties" : { "noteIndex" : 0 }, "schema" : "https://github.com/citation-style-language/schema/raw/master/csl-citation.json" }</w:instrText>
                            </w:r>
                            <w:r w:rsidRPr="003D4C10">
                              <w:rPr>
                                <w:rFonts w:ascii="Arial" w:hAnsi="Arial" w:cs="Arial"/>
                                <w:lang w:val="en-US"/>
                              </w:rPr>
                              <w:fldChar w:fldCharType="separate"/>
                            </w:r>
                            <w:r w:rsidR="009E0BAE" w:rsidRPr="009E0BAE">
                              <w:rPr>
                                <w:rFonts w:ascii="Arial" w:hAnsi="Arial" w:cs="Arial"/>
                                <w:noProof/>
                                <w:vertAlign w:val="superscript"/>
                                <w:lang w:val="en-US"/>
                              </w:rPr>
                              <w:t>77</w:t>
                            </w:r>
                            <w:r w:rsidRPr="003D4C10">
                              <w:rPr>
                                <w:rFonts w:ascii="Arial" w:hAnsi="Arial" w:cs="Arial"/>
                                <w:lang w:val="en-US"/>
                              </w:rPr>
                              <w:fldChar w:fldCharType="end"/>
                            </w:r>
                            <w:r w:rsidRPr="003D4C10">
                              <w:rPr>
                                <w:rFonts w:ascii="Arial" w:hAnsi="Arial" w:cs="Arial"/>
                                <w:lang w:val="en-US"/>
                              </w:rPr>
                              <w:t xml:space="preserve"> Another approach is drug mixing </w:t>
                            </w:r>
                            <w:r w:rsidRPr="003D4C10">
                              <w:rPr>
                                <w:rFonts w:ascii="Arial" w:hAnsi="Arial" w:cs="Arial"/>
                                <w:lang w:eastAsia="en-GB"/>
                              </w:rPr>
                              <w:t xml:space="preserve">(diversification of </w:t>
                            </w:r>
                            <w:r w:rsidRPr="003D4C10">
                              <w:rPr>
                                <w:rFonts w:ascii="Arial" w:hAnsi="Arial" w:cs="Arial"/>
                              </w:rPr>
                              <w:t>antimicrobial</w:t>
                            </w:r>
                            <w:r w:rsidRPr="003D4C10">
                              <w:rPr>
                                <w:rFonts w:ascii="Arial" w:hAnsi="Arial" w:cs="Arial"/>
                                <w:lang w:eastAsia="en-GB"/>
                              </w:rPr>
                              <w:t xml:space="preserve"> prescription at the individual level allowing for patient variation</w:t>
                            </w:r>
                            <w:r w:rsidRPr="00AB55CD">
                              <w:rPr>
                                <w:rFonts w:ascii="Arial" w:hAnsi="Arial" w:cs="Arial"/>
                                <w:highlight w:val="yellow"/>
                                <w:lang w:eastAsia="en-GB"/>
                              </w:rPr>
                              <w:t>),</w:t>
                            </w:r>
                            <w:r w:rsidRPr="003D4C10">
                              <w:rPr>
                                <w:rFonts w:ascii="Arial" w:hAnsi="Arial" w:cs="Arial"/>
                                <w:lang w:eastAsia="en-GB"/>
                              </w:rPr>
                              <w:t xml:space="preserve"> maintaining personalisation of infection treatment. However </w:t>
                            </w:r>
                            <w:r w:rsidRPr="003D4C10">
                              <w:rPr>
                                <w:rFonts w:ascii="Arial" w:hAnsi="Arial"/>
                                <w:lang w:eastAsia="en-GB"/>
                              </w:rPr>
                              <w:t>implementing</w:t>
                            </w:r>
                            <w:r w:rsidRPr="003D4C10">
                              <w:rPr>
                                <w:rFonts w:ascii="Arial" w:hAnsi="Arial"/>
                                <w:lang w:val="en-US"/>
                              </w:rPr>
                              <w:t xml:space="preserve"> personalised medicine effectively would require accurate and rapid diagnosis of pathogens, antimicrobial resistance and host factors.</w:t>
                            </w:r>
                          </w:p>
                          <w:p w14:paraId="3D41E4FE" w14:textId="5D132DCC" w:rsidR="008F211C" w:rsidRPr="003D4C10" w:rsidRDefault="008F211C" w:rsidP="00414CEE">
                            <w:pPr>
                              <w:rPr>
                                <w:rFonts w:ascii="Arial" w:hAnsi="Arial"/>
                                <w:lang w:val="en-US"/>
                              </w:rPr>
                            </w:pPr>
                          </w:p>
                          <w:p w14:paraId="23FAB25A" w14:textId="082B08C5" w:rsidR="008F211C" w:rsidRPr="003D4C10" w:rsidRDefault="008F211C" w:rsidP="00386E99">
                            <w:pPr>
                              <w:rPr>
                                <w:rFonts w:ascii="Arial" w:hAnsi="Arial" w:cs="Arial"/>
                                <w:lang w:val="en-US"/>
                              </w:rPr>
                            </w:pPr>
                            <w:r w:rsidRPr="003D4C10">
                              <w:rPr>
                                <w:rFonts w:ascii="Arial" w:hAnsi="Arial" w:cs="Arial"/>
                                <w:b/>
                                <w:lang w:val="en-US"/>
                              </w:rPr>
                              <w:t>Assure and ensure adequate serum drug concentrations</w:t>
                            </w:r>
                            <w:r w:rsidRPr="003D4C10">
                              <w:rPr>
                                <w:rFonts w:ascii="Arial" w:hAnsi="Arial" w:cs="Arial"/>
                                <w:lang w:val="en-US"/>
                              </w:rPr>
                              <w:t>; sub-therapeutic concentrations contribute to poor treatment responses, and exert non-lethal selective pressures</w:t>
                            </w:r>
                            <w:r w:rsidRPr="00540248">
                              <w:rPr>
                                <w:rFonts w:ascii="Arial" w:hAnsi="Arial" w:cs="Arial"/>
                                <w:highlight w:val="yellow"/>
                                <w:lang w:val="en-US"/>
                              </w:rPr>
                              <w:t>.</w:t>
                            </w:r>
                            <w:r w:rsidRPr="003D4C10">
                              <w:rPr>
                                <w:rFonts w:ascii="Arial" w:hAnsi="Arial" w:cs="Arial"/>
                                <w:lang w:val="en-US"/>
                              </w:rPr>
                              <w:t xml:space="preserve"> Unfortunately, suboptimal drug exposures have many causes: use of poor quality drug (falsified, substandard or degraded</w:t>
                            </w:r>
                            <w:r w:rsidRPr="00540248">
                              <w:rPr>
                                <w:rFonts w:ascii="Arial" w:hAnsi="Arial" w:cs="Arial"/>
                                <w:highlight w:val="yellow"/>
                                <w:lang w:val="en-US"/>
                              </w:rPr>
                              <w:t>),</w:t>
                            </w:r>
                            <w:r w:rsidRPr="003D4C10">
                              <w:rPr>
                                <w:rFonts w:ascii="Arial" w:hAnsi="Arial" w:cs="Arial"/>
                                <w:lang w:val="en-US"/>
                              </w:rPr>
                              <w:t xml:space="preserve"> systematic under-dosing (small infants, over weight adults, infrequent dosing)</w:t>
                            </w:r>
                            <w:r w:rsidRPr="00540248">
                              <w:rPr>
                                <w:rFonts w:ascii="Arial" w:hAnsi="Arial" w:cs="Arial"/>
                                <w:highlight w:val="yellow"/>
                                <w:lang w:val="en-US"/>
                              </w:rPr>
                              <w:t>,</w:t>
                            </w:r>
                            <w:r w:rsidRPr="003D4C10">
                              <w:rPr>
                                <w:rFonts w:ascii="Arial" w:hAnsi="Arial" w:cs="Arial"/>
                                <w:lang w:val="en-US"/>
                              </w:rPr>
                              <w:t xml:space="preserve"> inadequate drug absorption (malnutrition, drug interactions), unusual large apparent volume of distribution (pregnancy), or particularly rapid clearance</w:t>
                            </w:r>
                            <w:r w:rsidRPr="00540248">
                              <w:rPr>
                                <w:rFonts w:ascii="Arial" w:hAnsi="Arial" w:cs="Arial"/>
                                <w:highlight w:val="yellow"/>
                                <w:lang w:val="en-US"/>
                              </w:rPr>
                              <w:t>.</w:t>
                            </w:r>
                            <w:r>
                              <w:rPr>
                                <w:rFonts w:ascii="Arial" w:hAnsi="Arial" w:cs="Arial"/>
                                <w:highlight w:val="yellow"/>
                                <w:lang w:val="en-US"/>
                              </w:rPr>
                              <w:fldChar w:fldCharType="begin" w:fldLock="1"/>
                            </w:r>
                            <w:r>
                              <w:rPr>
                                <w:rFonts w:ascii="Arial" w:hAnsi="Arial" w:cs="Arial"/>
                                <w:highlight w:val="yellow"/>
                                <w:lang w:val="en-US"/>
                              </w:rPr>
                              <w:instrText>ADDIN CSL_CITATION { "citationItems" : [ { "id" : "ITEM-1", "itemData" : { "author" : [ { "dropping-particle" : "", "family" : "Mendelson", "given" : "Marc", "non-dropping-particle" : "", "parse-names" : false, "suffix" : "" }, { "dropping-particle" : "", "family" : "Balasegaram", "given" : "Manica", "non-dropping-particle" : "", "parse-names" : false, "suffix" : "" }, { "dropping-particle" : "", "family" : "Gopinathan", "given" : "Unni", "non-dropping-particle" : "", "parse-names" : false, "suffix" : "" }, { "dropping-particle" : "", "family" : "Hamer", "given" : "Davidson H", "non-dropping-particle" : "", "parse-names" : false, "suffix" : "" }, { "dropping-particle" : "", "family" : "Wertheim", "given" : "Heiman", "non-dropping-particle" : "", "parse-names" : false, "suffix" : "" }, { "dropping-particle" : "", "family" : "Basnyat", "given" : "Buddha", "non-dropping-particle" : "", "parse-names" : false, "suffix" : "" }, { "dropping-particle" : "", "family" : "Butler", "given" : "Christopher", "non-dropping-particle" : "", "parse-names" : false, "suffix" : "" }, { "dropping-particle" : "", "family" : "Tomson", "given" : "Goran", "non-dropping-particle" : "", "parse-names" : false, "suffix" : "" } ], "container-title" : "The Lancet", "id" : "ITEM-1", "issued" : { "date-parts" : [ [ "2015" ] ] }, "page" : "[under review]", "title" : "Maximising access whilst curbing excess: achieving appropriate human antimicrobial use in low and middle income countries", "type" : "article-journal" }, "uris" : [ "http://www.mendeley.com/documents/?uuid=0d943487-97f5-4f75-939a-2018fe556c0b" ] } ], "mendeley" : { "formattedCitation" : "&lt;sup&gt;2&lt;/sup&gt;", "plainTextFormattedCitation" : "2", "previouslyFormattedCitation" : "&lt;sup&gt;2&lt;/sup&gt;" }, "properties" : { "noteIndex" : 0 }, "schema" : "https://github.com/citation-style-language/schema/raw/master/csl-citation.json" }</w:instrText>
                            </w:r>
                            <w:r>
                              <w:rPr>
                                <w:rFonts w:ascii="Arial" w:hAnsi="Arial" w:cs="Arial"/>
                                <w:highlight w:val="yellow"/>
                                <w:lang w:val="en-US"/>
                              </w:rPr>
                              <w:fldChar w:fldCharType="separate"/>
                            </w:r>
                            <w:r w:rsidRPr="00540248">
                              <w:rPr>
                                <w:rFonts w:ascii="Arial" w:hAnsi="Arial" w:cs="Arial"/>
                                <w:noProof/>
                                <w:highlight w:val="yellow"/>
                                <w:vertAlign w:val="superscript"/>
                                <w:lang w:val="en-US"/>
                              </w:rPr>
                              <w:t>2</w:t>
                            </w:r>
                            <w:r>
                              <w:rPr>
                                <w:rFonts w:ascii="Arial" w:hAnsi="Arial" w:cs="Arial"/>
                                <w:highlight w:val="yellow"/>
                                <w:lang w:val="en-US"/>
                              </w:rPr>
                              <w:fldChar w:fldCharType="end"/>
                            </w:r>
                            <w:r w:rsidRPr="003D4C10">
                              <w:rPr>
                                <w:rFonts w:ascii="Arial" w:hAnsi="Arial" w:cs="Arial"/>
                                <w:lang w:val="en-US"/>
                              </w:rPr>
                              <w:t xml:space="preserve"> Taken individually, populations exposed to sub-therapeutic concentrations may appear small, but they represent a high proportion of the patients receiving antimicrobials in LMICs. Optimising dosage and ensuring drug quality could reduce sub-therapeutic drug exposure and reduce this modifiable driver of resistance. </w:t>
                            </w:r>
                          </w:p>
                          <w:p w14:paraId="3D41BDC3" w14:textId="77777777" w:rsidR="008F211C" w:rsidRPr="003D4C10" w:rsidRDefault="008F211C" w:rsidP="00386E99">
                            <w:pPr>
                              <w:rPr>
                                <w:rFonts w:ascii="Arial" w:hAnsi="Arial" w:cs="Arial"/>
                                <w:lang w:val="en-US"/>
                              </w:rPr>
                            </w:pPr>
                          </w:p>
                          <w:p w14:paraId="64E199C8" w14:textId="0070B3B2" w:rsidR="008F211C" w:rsidRPr="003D4C10" w:rsidRDefault="008F211C" w:rsidP="00386E99">
                            <w:pPr>
                              <w:rPr>
                                <w:rFonts w:ascii="Arial" w:hAnsi="Arial" w:cs="Arial"/>
                                <w:lang w:val="en-US"/>
                              </w:rPr>
                            </w:pPr>
                            <w:proofErr w:type="gramStart"/>
                            <w:r w:rsidRPr="003D4C10">
                              <w:rPr>
                                <w:rFonts w:ascii="Arial" w:hAnsi="Arial" w:cs="Arial"/>
                                <w:b/>
                                <w:lang w:val="en-US"/>
                              </w:rPr>
                              <w:t>Repurposing of retired and underused antimicrobial agents.</w:t>
                            </w:r>
                            <w:proofErr w:type="gramEnd"/>
                            <w:r w:rsidRPr="003D4C10">
                              <w:rPr>
                                <w:rFonts w:ascii="Arial" w:hAnsi="Arial" w:cs="Arial"/>
                                <w:b/>
                                <w:lang w:val="en-US"/>
                              </w:rPr>
                              <w:t xml:space="preserve"> </w:t>
                            </w:r>
                            <w:r w:rsidRPr="003D4C10">
                              <w:rPr>
                                <w:rFonts w:ascii="Arial" w:hAnsi="Arial" w:cs="Arial"/>
                                <w:lang w:val="en-US"/>
                              </w:rPr>
                              <w:t>Repurposing previously discovered (often FDA-approved) pharmacotherapies may provide a potentially less economically risky pursuit than de novo drug discovery. This has already been evident with the return t</w:t>
                            </w:r>
                            <w:r>
                              <w:rPr>
                                <w:rFonts w:ascii="Arial" w:hAnsi="Arial" w:cs="Arial"/>
                                <w:lang w:val="en-US"/>
                              </w:rPr>
                              <w:t>o use of colistin and fosfomyci</w:t>
                            </w:r>
                            <w:r w:rsidRPr="00667A9F">
                              <w:rPr>
                                <w:rFonts w:ascii="Arial" w:hAnsi="Arial" w:cs="Arial"/>
                                <w:highlight w:val="yellow"/>
                                <w:lang w:val="en-US"/>
                              </w:rPr>
                              <w:t>n</w:t>
                            </w:r>
                            <w:r w:rsidRPr="003D4C10">
                              <w:rPr>
                                <w:rFonts w:ascii="Arial" w:hAnsi="Arial" w:cs="Arial"/>
                                <w:lang w:val="en-US"/>
                              </w:rPr>
                              <w:t xml:space="preserve"> for multi-drug resistant Gram negative infections, </w:t>
                            </w:r>
                            <w:r w:rsidRPr="00C8340F">
                              <w:rPr>
                                <w:rFonts w:ascii="Arial" w:hAnsi="Arial" w:cs="Arial"/>
                                <w:highlight w:val="yellow"/>
                                <w:lang w:val="en-US"/>
                              </w:rPr>
                              <w:t xml:space="preserve">repurposing of older agents for bacteria such as </w:t>
                            </w:r>
                            <w:r w:rsidRPr="00C8340F">
                              <w:rPr>
                                <w:rFonts w:ascii="Arial" w:hAnsi="Arial" w:cs="Arial"/>
                                <w:i/>
                                <w:highlight w:val="yellow"/>
                                <w:lang w:val="en-US"/>
                              </w:rPr>
                              <w:t>Acinetobacter baumannii</w:t>
                            </w:r>
                            <w:r>
                              <w:rPr>
                                <w:rFonts w:ascii="Arial" w:hAnsi="Arial" w:cs="Arial"/>
                                <w:lang w:val="en-US"/>
                              </w:rPr>
                              <w:t xml:space="preserve">, </w:t>
                            </w:r>
                            <w:r w:rsidRPr="003D4C10">
                              <w:rPr>
                                <w:rFonts w:ascii="Arial" w:hAnsi="Arial" w:cs="Arial"/>
                                <w:lang w:val="en-US"/>
                              </w:rPr>
                              <w:t>and more widespread consideration of fusidic acid, in clinical use in some countries since the 1960</w:t>
                            </w:r>
                            <w:r w:rsidRPr="00667A9F">
                              <w:rPr>
                                <w:rFonts w:ascii="Arial" w:hAnsi="Arial" w:cs="Arial"/>
                                <w:highlight w:val="yellow"/>
                                <w:lang w:val="en-US"/>
                              </w:rPr>
                              <w:t>s.</w:t>
                            </w:r>
                            <w:r w:rsidRPr="003D4C10">
                              <w:rPr>
                                <w:rFonts w:ascii="Arial" w:hAnsi="Arial" w:cs="Arial"/>
                                <w:lang w:val="en-US"/>
                              </w:rPr>
                              <w:t xml:space="preserve"> Incentives currently being advocated for ‘new’ drug discovery</w:t>
                            </w:r>
                            <w:r w:rsidRPr="00667A9F">
                              <w:rPr>
                                <w:rFonts w:ascii="Arial" w:hAnsi="Arial" w:cs="Arial"/>
                                <w:highlight w:val="yellow"/>
                                <w:lang w:val="en-US"/>
                              </w:rPr>
                              <w:t>,</w:t>
                            </w:r>
                            <w:r w:rsidRPr="003D4C10">
                              <w:rPr>
                                <w:rFonts w:ascii="Arial" w:hAnsi="Arial" w:cs="Arial"/>
                                <w:lang w:val="en-US"/>
                              </w:rPr>
                              <w:t xml:space="preserve"> including mechanisms to accelerate clinical trials, and making these agents attractive to industry for production, may also need to be adapted to such repurposed agents.</w:t>
                            </w:r>
                          </w:p>
                          <w:p w14:paraId="6398E482" w14:textId="77777777" w:rsidR="008F211C" w:rsidRPr="003D4C10" w:rsidRDefault="008F211C" w:rsidP="00414CEE"/>
                          <w:p w14:paraId="7B8349CE" w14:textId="2E8C8F29" w:rsidR="008F211C" w:rsidRPr="003D4C10" w:rsidRDefault="008F211C" w:rsidP="00414CEE">
                            <w:pPr>
                              <w:rPr>
                                <w:rFonts w:ascii="Arial" w:hAnsi="Arial" w:cs="Arial"/>
                                <w:lang w:val="en-US"/>
                              </w:rPr>
                            </w:pPr>
                            <w:proofErr w:type="gramStart"/>
                            <w:r w:rsidRPr="003D4C10">
                              <w:rPr>
                                <w:rFonts w:ascii="Arial" w:hAnsi="Arial" w:cs="Arial"/>
                                <w:b/>
                                <w:lang w:val="en-US"/>
                              </w:rPr>
                              <w:t>Combination therapy;</w:t>
                            </w:r>
                            <w:r w:rsidRPr="003D4C10">
                              <w:rPr>
                                <w:rFonts w:ascii="Arial" w:hAnsi="Arial" w:cs="Arial"/>
                                <w:lang w:val="en-US"/>
                              </w:rPr>
                              <w:t xml:space="preserve"> use of multiple antimicrobials to which the targeted organisms do not show cross-resistance.</w:t>
                            </w:r>
                            <w:proofErr w:type="gramEnd"/>
                            <w:r w:rsidRPr="003D4C10">
                              <w:rPr>
                                <w:rFonts w:ascii="Arial" w:hAnsi="Arial" w:cs="Arial"/>
                                <w:lang w:val="en-US"/>
                              </w:rPr>
                              <w:t xml:space="preserve"> This relies on microbial populations containing singly resistant mutants, but none resistant simultaneously to multiple drugs.</w:t>
                            </w:r>
                            <w:r w:rsidRPr="003D4C10">
                              <w:rPr>
                                <w:rFonts w:ascii="Arial" w:hAnsi="Arial"/>
                                <w:lang w:val="en-US"/>
                              </w:rPr>
                              <w:t xml:space="preserve"> However the increasing prevalence of multidrug resistant strains necessitates careful evaluation to ensure efficacy of drug combinations. </w:t>
                            </w:r>
                            <w:r w:rsidRPr="003D4C10">
                              <w:rPr>
                                <w:rFonts w:ascii="Arial" w:hAnsi="Arial" w:cs="Arial"/>
                                <w:lang w:val="en-US"/>
                              </w:rPr>
                              <w:t>This strategy has been successful in preventing or delaying resistance in tuberculosis, HIV and malaria</w:t>
                            </w:r>
                            <w:r w:rsidRPr="00667A9F">
                              <w:rPr>
                                <w:rFonts w:ascii="Arial" w:hAnsi="Arial" w:cs="Arial"/>
                                <w:highlight w:val="yellow"/>
                                <w:lang w:val="en-US"/>
                              </w:rPr>
                              <w:t>.</w:t>
                            </w:r>
                            <w:r w:rsidRPr="003D4C10">
                              <w:rPr>
                                <w:rFonts w:ascii="Arial" w:hAnsi="Arial" w:cs="Arial"/>
                                <w:lang w:val="en-US"/>
                              </w:rPr>
                              <w:t xml:space="preserve"> However combination therapy successes for the organisms causing these diseases are not directly translatable to bacterial infections and have not been widely recommended to date, often because of the increased cost, but also from fear of incremental, unwanted, disturbance of the microbiome. Furthermore, the differentials in half-life of agents used in combination must be carefully considered, or unintentional monotherapy may ensue. In conclusion, the risk-benefit of combination therapy is unclear and further work is urgently needed to clarify these issues.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7pt;margin-top:31.9pt;width:463.9pt;height:56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">
                <v:textbox>
                  <w:txbxContent>
                    <w:p w14:paraId="70AB82FB" w14:textId="75C71ED4" w:rsidR="008F211C" w:rsidRPr="003D4C10" w:rsidRDefault="008F211C" w:rsidP="00F62B94">
                      <w:pPr>
                        <w:rPr>
                          <w:rFonts w:ascii="Arial" w:hAnsi="Arial" w:cs="Arial"/>
                          <w:lang w:eastAsia="en-GB"/>
                        </w:rPr>
                      </w:pPr>
                      <w:r w:rsidRPr="003D4C10">
                        <w:rPr>
                          <w:rFonts w:ascii="Arial" w:hAnsi="Arial" w:cs="Arial"/>
                          <w:b/>
                          <w:lang w:val="en-US"/>
                        </w:rPr>
                        <w:t xml:space="preserve">Maintain heterogeneity of antimicrobial agents; </w:t>
                      </w:r>
                      <w:r w:rsidRPr="003D4C10">
                        <w:rPr>
                          <w:rFonts w:ascii="Arial" w:hAnsi="Arial" w:cs="Arial"/>
                          <w:lang w:val="en-US"/>
                        </w:rPr>
                        <w:t>excessively homogenous antimicrobial use may contribute to selective pressure.</w:t>
                      </w:r>
                      <w:r w:rsidRPr="003D4C10">
                        <w:rPr>
                          <w:rFonts w:ascii="Arial" w:hAnsi="Arial" w:cs="Arial"/>
                          <w:b/>
                          <w:lang w:val="en-US"/>
                        </w:rPr>
                        <w:t xml:space="preserve"> </w:t>
                      </w:r>
                      <w:r w:rsidRPr="003D4C10">
                        <w:rPr>
                          <w:rFonts w:ascii="Arial" w:hAnsi="Arial" w:cs="Arial"/>
                          <w:lang w:val="en-US"/>
                        </w:rPr>
                        <w:t xml:space="preserve">Maintaining prescribing diversity can be achieved through several methods. One such is drug cycling (replacing an antimicrobial belonging to one class with one or more belonging to different classes, sequentially,  at the level of the </w:t>
                      </w:r>
                      <w:r w:rsidRPr="003D4C10">
                        <w:rPr>
                          <w:rFonts w:ascii="Arial" w:hAnsi="Arial" w:cs="Arial"/>
                          <w:lang w:eastAsia="en-GB"/>
                        </w:rPr>
                        <w:t>unit or hospital)</w:t>
                      </w:r>
                      <w:r w:rsidRPr="00540248">
                        <w:rPr>
                          <w:rFonts w:ascii="Arial" w:hAnsi="Arial" w:cs="Arial"/>
                          <w:highlight w:val="yellow"/>
                          <w:lang w:eastAsia="en-GB"/>
                        </w:rPr>
                        <w:t>.</w:t>
                      </w:r>
                      <w:r w:rsidRPr="003D4C10">
                        <w:rPr>
                          <w:rFonts w:ascii="Arial" w:hAnsi="Arial" w:cs="Arial"/>
                          <w:lang w:val="en-US"/>
                        </w:rPr>
                        <w:t xml:space="preserve"> However, cycling may only be useful if implemented before resistance to the replacement drug has emerged or if resistance to the first drug imposes a fitness cost.</w:t>
                      </w:r>
                      <w:r w:rsidRPr="003D4C10">
                        <w:rPr>
                          <w:rFonts w:ascii="Arial" w:hAnsi="Arial" w:cs="Arial"/>
                          <w:lang w:val="en-US"/>
                        </w:rPr>
                        <w:fldChar w:fldCharType="begin" w:fldLock="1"/>
                      </w:r>
                      <w:r w:rsidR="009E0BAE">
                        <w:rPr>
                          <w:rFonts w:ascii="Arial" w:hAnsi="Arial" w:cs="Arial"/>
                          <w:lang w:val="en-US"/>
                        </w:rPr>
                        <w:instrText>ADDIN CSL_CITATION { "citationItems" : [ { "id" : "ITEM-1", "itemData" : { "DOI" : "10.1371/journal.ppat.1000541", "ISSN" : "1553-7374", "PMID" : "19662169", "abstract" : "Fluoroquinolones are antibacterial drugs that inhibit DNA Gyrase and Topoisomerase IV. These essential enzymes facilitate chromosome replication and RNA transcription by regulating chromosome supercoiling. High-level resistance to fluoroquinolones in E. coli requires the accumulation of multiple mutations, including those that alter target genes and genes regulating drug efflux. Previous studies have shown some drug-resistance mutations reduce bacterial fitness, leading to the selection of fitness-compensatory mutations. The impact of fluoroquinolone-resistance on bacterial fitness was analyzed in constructed isogenic strains carrying up to 5 resistance mutations. Some mutations significantly decreased bacterial fitness both in vitro and in vivo. We identified low-fitness triple-mutants where the acquisition of a fourth resistance mutation significantly increased fitness in vitro and in vivo while at the same time dramatically decreasing drug susceptibility. The largest effect occurred with the addition of a parC mutation (Topoisomerase IV) to a low-fitness strain carrying resistance mutations in gyrA (DNA Gyrase) and marR (drug efflux regulation). Increased fitness was accompanied by a significant change in the level of gyrA promoter activity as measured in an assay of DNA supercoiling. In selection and competition experiments made in the absence of drug, parC mutants that improved fitness and reduced susceptibility were selected. These data suggest that natural selection for improved growth in bacteria with low-level resistance to fluoroquinolones could in some cases select for further reductions in drug susceptibility. Thus, increased resistance to fluoroquinolones could be selected even in the absence of further exposure to the drug.", "author" : [ { "dropping-particle" : "", "family" : "Marcusson", "given" : "Linda L", "non-dropping-particle" : "", "parse-names" : false, "suffix" : "" }, { "dropping-particle" : "", "family" : "Frimodt-M\u00f8ller", "given" : "Niels", "non-dropping-particle" : "", "parse-names" : false, "suffix" : "" }, { "dropping-particle" : "", "family" : "Hughes", "given" : "Diarmaid", "non-dropping-particle" : "", "parse-names" : false, "suffix" : "" } ], "container-title" : "PLoS Pathogens", "id" : "ITEM-1", "issue" : "8", "issued" : { "date-parts" : [ [ "2009", "8" ] ] }, "page" : "e1000541", "title" : "Interplay in the selection of fluoroquinolone resistance and bacterial fitness.", "type" : "article-journal", "volume" : "5" }, "uris" : [ "http://www.mendeley.com/documents/?uuid=a17e9f5c-d97b-4680-af7d-d0ef9d9f584d" ] } ], "mendeley" : { "formattedCitation" : "&lt;sup&gt;77&lt;/sup&gt;", "plainTextFormattedCitation" : "77", "previouslyFormattedCitation" : "&lt;sup&gt;78&lt;/sup&gt;" }, "properties" : { "noteIndex" : 0 }, "schema" : "https://github.com/citation-style-language/schema/raw/master/csl-citation.json" }</w:instrText>
                      </w:r>
                      <w:r w:rsidRPr="003D4C10">
                        <w:rPr>
                          <w:rFonts w:ascii="Arial" w:hAnsi="Arial" w:cs="Arial"/>
                          <w:lang w:val="en-US"/>
                        </w:rPr>
                        <w:fldChar w:fldCharType="separate"/>
                      </w:r>
                      <w:r w:rsidR="009E0BAE" w:rsidRPr="009E0BAE">
                        <w:rPr>
                          <w:rFonts w:ascii="Arial" w:hAnsi="Arial" w:cs="Arial"/>
                          <w:noProof/>
                          <w:vertAlign w:val="superscript"/>
                          <w:lang w:val="en-US"/>
                        </w:rPr>
                        <w:t>77</w:t>
                      </w:r>
                      <w:r w:rsidRPr="003D4C10">
                        <w:rPr>
                          <w:rFonts w:ascii="Arial" w:hAnsi="Arial" w:cs="Arial"/>
                          <w:lang w:val="en-US"/>
                        </w:rPr>
                        <w:fldChar w:fldCharType="end"/>
                      </w:r>
                      <w:r w:rsidRPr="003D4C10">
                        <w:rPr>
                          <w:rFonts w:ascii="Arial" w:hAnsi="Arial" w:cs="Arial"/>
                          <w:lang w:val="en-US"/>
                        </w:rPr>
                        <w:t xml:space="preserve"> Another approach is drug mixing </w:t>
                      </w:r>
                      <w:r w:rsidRPr="003D4C10">
                        <w:rPr>
                          <w:rFonts w:ascii="Arial" w:hAnsi="Arial" w:cs="Arial"/>
                          <w:lang w:eastAsia="en-GB"/>
                        </w:rPr>
                        <w:t xml:space="preserve">(diversification of </w:t>
                      </w:r>
                      <w:r w:rsidRPr="003D4C10">
                        <w:rPr>
                          <w:rFonts w:ascii="Arial" w:hAnsi="Arial" w:cs="Arial"/>
                        </w:rPr>
                        <w:t>antimicrobial</w:t>
                      </w:r>
                      <w:r w:rsidRPr="003D4C10">
                        <w:rPr>
                          <w:rFonts w:ascii="Arial" w:hAnsi="Arial" w:cs="Arial"/>
                          <w:lang w:eastAsia="en-GB"/>
                        </w:rPr>
                        <w:t xml:space="preserve"> prescription at the individual level allowing for patient variation</w:t>
                      </w:r>
                      <w:r w:rsidRPr="00AB55CD">
                        <w:rPr>
                          <w:rFonts w:ascii="Arial" w:hAnsi="Arial" w:cs="Arial"/>
                          <w:highlight w:val="yellow"/>
                          <w:lang w:eastAsia="en-GB"/>
                        </w:rPr>
                        <w:t>),</w:t>
                      </w:r>
                      <w:r w:rsidRPr="003D4C10">
                        <w:rPr>
                          <w:rFonts w:ascii="Arial" w:hAnsi="Arial" w:cs="Arial"/>
                          <w:lang w:eastAsia="en-GB"/>
                        </w:rPr>
                        <w:t xml:space="preserve"> maintaining personalisation of infection treatment. However </w:t>
                      </w:r>
                      <w:r w:rsidRPr="003D4C10">
                        <w:rPr>
                          <w:rFonts w:ascii="Arial" w:hAnsi="Arial"/>
                          <w:lang w:eastAsia="en-GB"/>
                        </w:rPr>
                        <w:t>implementing</w:t>
                      </w:r>
                      <w:r w:rsidRPr="003D4C10">
                        <w:rPr>
                          <w:rFonts w:ascii="Arial" w:hAnsi="Arial"/>
                          <w:lang w:val="en-US"/>
                        </w:rPr>
                        <w:t xml:space="preserve"> personalised medicine effectively would require accurate and rapid diagnosis of pathogens, antimicrobial resistance and host factors.</w:t>
                      </w:r>
                    </w:p>
                    <w:p w14:paraId="3D41E4FE" w14:textId="5D132DCC" w:rsidR="008F211C" w:rsidRPr="003D4C10" w:rsidRDefault="008F211C" w:rsidP="00414CEE">
                      <w:pPr>
                        <w:rPr>
                          <w:rFonts w:ascii="Arial" w:hAnsi="Arial"/>
                          <w:lang w:val="en-US"/>
                        </w:rPr>
                      </w:pPr>
                    </w:p>
                    <w:p w14:paraId="23FAB25A" w14:textId="082B08C5" w:rsidR="008F211C" w:rsidRPr="003D4C10" w:rsidRDefault="008F211C" w:rsidP="00386E99">
                      <w:pPr>
                        <w:rPr>
                          <w:rFonts w:ascii="Arial" w:hAnsi="Arial" w:cs="Arial"/>
                          <w:lang w:val="en-US"/>
                        </w:rPr>
                      </w:pPr>
                      <w:r w:rsidRPr="003D4C10">
                        <w:rPr>
                          <w:rFonts w:ascii="Arial" w:hAnsi="Arial" w:cs="Arial"/>
                          <w:b/>
                          <w:lang w:val="en-US"/>
                        </w:rPr>
                        <w:t>Assure and ensure adequate serum drug concentrations</w:t>
                      </w:r>
                      <w:r w:rsidRPr="003D4C10">
                        <w:rPr>
                          <w:rFonts w:ascii="Arial" w:hAnsi="Arial" w:cs="Arial"/>
                          <w:lang w:val="en-US"/>
                        </w:rPr>
                        <w:t>; sub-therapeutic concentrations contribute to poor treatment responses, and exert non-lethal selective pressures</w:t>
                      </w:r>
                      <w:r w:rsidRPr="00540248">
                        <w:rPr>
                          <w:rFonts w:ascii="Arial" w:hAnsi="Arial" w:cs="Arial"/>
                          <w:highlight w:val="yellow"/>
                          <w:lang w:val="en-US"/>
                        </w:rPr>
                        <w:t>.</w:t>
                      </w:r>
                      <w:r w:rsidRPr="003D4C10">
                        <w:rPr>
                          <w:rFonts w:ascii="Arial" w:hAnsi="Arial" w:cs="Arial"/>
                          <w:lang w:val="en-US"/>
                        </w:rPr>
                        <w:t xml:space="preserve"> Unfortunately, suboptimal drug exposures have many causes: use of poor quality drug (falsified, substandard or degraded</w:t>
                      </w:r>
                      <w:r w:rsidRPr="00540248">
                        <w:rPr>
                          <w:rFonts w:ascii="Arial" w:hAnsi="Arial" w:cs="Arial"/>
                          <w:highlight w:val="yellow"/>
                          <w:lang w:val="en-US"/>
                        </w:rPr>
                        <w:t>),</w:t>
                      </w:r>
                      <w:r w:rsidRPr="003D4C10">
                        <w:rPr>
                          <w:rFonts w:ascii="Arial" w:hAnsi="Arial" w:cs="Arial"/>
                          <w:lang w:val="en-US"/>
                        </w:rPr>
                        <w:t xml:space="preserve"> systematic under-dosing (small infants, over weight adults, infrequent dosing)</w:t>
                      </w:r>
                      <w:r w:rsidRPr="00540248">
                        <w:rPr>
                          <w:rFonts w:ascii="Arial" w:hAnsi="Arial" w:cs="Arial"/>
                          <w:highlight w:val="yellow"/>
                          <w:lang w:val="en-US"/>
                        </w:rPr>
                        <w:t>,</w:t>
                      </w:r>
                      <w:r w:rsidRPr="003D4C10">
                        <w:rPr>
                          <w:rFonts w:ascii="Arial" w:hAnsi="Arial" w:cs="Arial"/>
                          <w:lang w:val="en-US"/>
                        </w:rPr>
                        <w:t xml:space="preserve"> inadequate drug absorption (malnutrition, drug interactions), unusual large apparent volume of distribution (pregnancy), or particularly rapid clearance</w:t>
                      </w:r>
                      <w:r w:rsidRPr="00540248">
                        <w:rPr>
                          <w:rFonts w:ascii="Arial" w:hAnsi="Arial" w:cs="Arial"/>
                          <w:highlight w:val="yellow"/>
                          <w:lang w:val="en-US"/>
                        </w:rPr>
                        <w:t>.</w:t>
                      </w:r>
                      <w:r>
                        <w:rPr>
                          <w:rFonts w:ascii="Arial" w:hAnsi="Arial" w:cs="Arial"/>
                          <w:highlight w:val="yellow"/>
                          <w:lang w:val="en-US"/>
                        </w:rPr>
                        <w:fldChar w:fldCharType="begin" w:fldLock="1"/>
                      </w:r>
                      <w:r>
                        <w:rPr>
                          <w:rFonts w:ascii="Arial" w:hAnsi="Arial" w:cs="Arial"/>
                          <w:highlight w:val="yellow"/>
                          <w:lang w:val="en-US"/>
                        </w:rPr>
                        <w:instrText>ADDIN CSL_CITATION { "citationItems" : [ { "id" : "ITEM-1", "itemData" : { "author" : [ { "dropping-particle" : "", "family" : "Mendelson", "given" : "Marc", "non-dropping-particle" : "", "parse-names" : false, "suffix" : "" }, { "dropping-particle" : "", "family" : "Balasegaram", "given" : "Manica", "non-dropping-particle" : "", "parse-names" : false, "suffix" : "" }, { "dropping-particle" : "", "family" : "Gopinathan", "given" : "Unni", "non-dropping-particle" : "", "parse-names" : false, "suffix" : "" }, { "dropping-particle" : "", "family" : "Hamer", "given" : "Davidson H", "non-dropping-particle" : "", "parse-names" : false, "suffix" : "" }, { "dropping-particle" : "", "family" : "Wertheim", "given" : "Heiman", "non-dropping-particle" : "", "parse-names" : false, "suffix" : "" }, { "dropping-particle" : "", "family" : "Basnyat", "given" : "Buddha", "non-dropping-particle" : "", "parse-names" : false, "suffix" : "" }, { "dropping-particle" : "", "family" : "Butler", "given" : "Christopher", "non-dropping-particle" : "", "parse-names" : false, "suffix" : "" }, { "dropping-particle" : "", "family" : "Tomson", "given" : "Goran", "non-dropping-particle" : "", "parse-names" : false, "suffix" : "" } ], "container-title" : "The Lancet", "id" : "ITEM-1", "issued" : { "date-parts" : [ [ "2015" ] ] }, "page" : "[under review]", "title" : "Maximising access whilst curbing excess: achieving appropriate human antimicrobial use in low and middle income countries", "type" : "article-journal" }, "uris" : [ "http://www.mendeley.com/documents/?uuid=0d943487-97f5-4f75-939a-2018fe556c0b" ] } ], "mendeley" : { "formattedCitation" : "&lt;sup&gt;2&lt;/sup&gt;", "plainTextFormattedCitation" : "2", "previouslyFormattedCitation" : "&lt;sup&gt;2&lt;/sup&gt;" }, "properties" : { "noteIndex" : 0 }, "schema" : "https://github.com/citation-style-language/schema/raw/master/csl-citation.json" }</w:instrText>
                      </w:r>
                      <w:r>
                        <w:rPr>
                          <w:rFonts w:ascii="Arial" w:hAnsi="Arial" w:cs="Arial"/>
                          <w:highlight w:val="yellow"/>
                          <w:lang w:val="en-US"/>
                        </w:rPr>
                        <w:fldChar w:fldCharType="separate"/>
                      </w:r>
                      <w:r w:rsidRPr="00540248">
                        <w:rPr>
                          <w:rFonts w:ascii="Arial" w:hAnsi="Arial" w:cs="Arial"/>
                          <w:noProof/>
                          <w:highlight w:val="yellow"/>
                          <w:vertAlign w:val="superscript"/>
                          <w:lang w:val="en-US"/>
                        </w:rPr>
                        <w:t>2</w:t>
                      </w:r>
                      <w:r>
                        <w:rPr>
                          <w:rFonts w:ascii="Arial" w:hAnsi="Arial" w:cs="Arial"/>
                          <w:highlight w:val="yellow"/>
                          <w:lang w:val="en-US"/>
                        </w:rPr>
                        <w:fldChar w:fldCharType="end"/>
                      </w:r>
                      <w:r w:rsidRPr="003D4C10">
                        <w:rPr>
                          <w:rFonts w:ascii="Arial" w:hAnsi="Arial" w:cs="Arial"/>
                          <w:lang w:val="en-US"/>
                        </w:rPr>
                        <w:t xml:space="preserve"> Taken individually, populations exposed to sub-therapeutic concentrations may appear small, but they represent a high proportion of the patients receiving antimicrobials in LMICs. Optimising dosage and ensuring drug quality could reduce sub-therapeutic drug exposure and reduce this modifiable driver of resistance. </w:t>
                      </w:r>
                    </w:p>
                    <w:p w14:paraId="3D41BDC3" w14:textId="77777777" w:rsidR="008F211C" w:rsidRPr="003D4C10" w:rsidRDefault="008F211C" w:rsidP="00386E99">
                      <w:pPr>
                        <w:rPr>
                          <w:rFonts w:ascii="Arial" w:hAnsi="Arial" w:cs="Arial"/>
                          <w:lang w:val="en-US"/>
                        </w:rPr>
                      </w:pPr>
                    </w:p>
                    <w:p w14:paraId="64E199C8" w14:textId="0070B3B2" w:rsidR="008F211C" w:rsidRPr="003D4C10" w:rsidRDefault="008F211C" w:rsidP="00386E99">
                      <w:pPr>
                        <w:rPr>
                          <w:rFonts w:ascii="Arial" w:hAnsi="Arial" w:cs="Arial"/>
                          <w:lang w:val="en-US"/>
                        </w:rPr>
                      </w:pPr>
                      <w:proofErr w:type="gramStart"/>
                      <w:r w:rsidRPr="003D4C10">
                        <w:rPr>
                          <w:rFonts w:ascii="Arial" w:hAnsi="Arial" w:cs="Arial"/>
                          <w:b/>
                          <w:lang w:val="en-US"/>
                        </w:rPr>
                        <w:t>Repurposing of retired and underused antimicrobial agents.</w:t>
                      </w:r>
                      <w:proofErr w:type="gramEnd"/>
                      <w:r w:rsidRPr="003D4C10">
                        <w:rPr>
                          <w:rFonts w:ascii="Arial" w:hAnsi="Arial" w:cs="Arial"/>
                          <w:b/>
                          <w:lang w:val="en-US"/>
                        </w:rPr>
                        <w:t xml:space="preserve"> </w:t>
                      </w:r>
                      <w:r w:rsidRPr="003D4C10">
                        <w:rPr>
                          <w:rFonts w:ascii="Arial" w:hAnsi="Arial" w:cs="Arial"/>
                          <w:lang w:val="en-US"/>
                        </w:rPr>
                        <w:t>Repurposing previously discovered (often FDA-approved) pharmacotherapies may provide a potentially less economically risky pursuit than de novo drug discovery. This has already been evident with the return t</w:t>
                      </w:r>
                      <w:r>
                        <w:rPr>
                          <w:rFonts w:ascii="Arial" w:hAnsi="Arial" w:cs="Arial"/>
                          <w:lang w:val="en-US"/>
                        </w:rPr>
                        <w:t>o use of colistin and fosfomyci</w:t>
                      </w:r>
                      <w:r w:rsidRPr="00667A9F">
                        <w:rPr>
                          <w:rFonts w:ascii="Arial" w:hAnsi="Arial" w:cs="Arial"/>
                          <w:highlight w:val="yellow"/>
                          <w:lang w:val="en-US"/>
                        </w:rPr>
                        <w:t>n</w:t>
                      </w:r>
                      <w:r w:rsidRPr="003D4C10">
                        <w:rPr>
                          <w:rFonts w:ascii="Arial" w:hAnsi="Arial" w:cs="Arial"/>
                          <w:lang w:val="en-US"/>
                        </w:rPr>
                        <w:t xml:space="preserve"> for multi-drug resistant Gram negative infections, </w:t>
                      </w:r>
                      <w:r w:rsidRPr="00C8340F">
                        <w:rPr>
                          <w:rFonts w:ascii="Arial" w:hAnsi="Arial" w:cs="Arial"/>
                          <w:highlight w:val="yellow"/>
                          <w:lang w:val="en-US"/>
                        </w:rPr>
                        <w:t xml:space="preserve">repurposing of older agents for bacteria such as </w:t>
                      </w:r>
                      <w:r w:rsidRPr="00C8340F">
                        <w:rPr>
                          <w:rFonts w:ascii="Arial" w:hAnsi="Arial" w:cs="Arial"/>
                          <w:i/>
                          <w:highlight w:val="yellow"/>
                          <w:lang w:val="en-US"/>
                        </w:rPr>
                        <w:t>Acinetobacter baumannii</w:t>
                      </w:r>
                      <w:r>
                        <w:rPr>
                          <w:rFonts w:ascii="Arial" w:hAnsi="Arial" w:cs="Arial"/>
                          <w:lang w:val="en-US"/>
                        </w:rPr>
                        <w:t xml:space="preserve">, </w:t>
                      </w:r>
                      <w:r w:rsidRPr="003D4C10">
                        <w:rPr>
                          <w:rFonts w:ascii="Arial" w:hAnsi="Arial" w:cs="Arial"/>
                          <w:lang w:val="en-US"/>
                        </w:rPr>
                        <w:t>and more widespread consideration of fusidic acid, in clinical use in some countries since the 1960</w:t>
                      </w:r>
                      <w:r w:rsidRPr="00667A9F">
                        <w:rPr>
                          <w:rFonts w:ascii="Arial" w:hAnsi="Arial" w:cs="Arial"/>
                          <w:highlight w:val="yellow"/>
                          <w:lang w:val="en-US"/>
                        </w:rPr>
                        <w:t>s.</w:t>
                      </w:r>
                      <w:r w:rsidRPr="003D4C10">
                        <w:rPr>
                          <w:rFonts w:ascii="Arial" w:hAnsi="Arial" w:cs="Arial"/>
                          <w:lang w:val="en-US"/>
                        </w:rPr>
                        <w:t xml:space="preserve"> Incentives currently being advocated for ‘new’ drug discovery</w:t>
                      </w:r>
                      <w:r w:rsidRPr="00667A9F">
                        <w:rPr>
                          <w:rFonts w:ascii="Arial" w:hAnsi="Arial" w:cs="Arial"/>
                          <w:highlight w:val="yellow"/>
                          <w:lang w:val="en-US"/>
                        </w:rPr>
                        <w:t>,</w:t>
                      </w:r>
                      <w:r w:rsidRPr="003D4C10">
                        <w:rPr>
                          <w:rFonts w:ascii="Arial" w:hAnsi="Arial" w:cs="Arial"/>
                          <w:lang w:val="en-US"/>
                        </w:rPr>
                        <w:t xml:space="preserve"> including mechanisms to accelerate clinical trials, and making these agents attractive to industry for production, may also need to be adapted to such repurposed agents.</w:t>
                      </w:r>
                    </w:p>
                    <w:p w14:paraId="6398E482" w14:textId="77777777" w:rsidR="008F211C" w:rsidRPr="003D4C10" w:rsidRDefault="008F211C" w:rsidP="00414CEE"/>
                    <w:p w14:paraId="7B8349CE" w14:textId="2E8C8F29" w:rsidR="008F211C" w:rsidRPr="003D4C10" w:rsidRDefault="008F211C" w:rsidP="00414CEE">
                      <w:pPr>
                        <w:rPr>
                          <w:rFonts w:ascii="Arial" w:hAnsi="Arial" w:cs="Arial"/>
                          <w:lang w:val="en-US"/>
                        </w:rPr>
                      </w:pPr>
                      <w:proofErr w:type="gramStart"/>
                      <w:r w:rsidRPr="003D4C10">
                        <w:rPr>
                          <w:rFonts w:ascii="Arial" w:hAnsi="Arial" w:cs="Arial"/>
                          <w:b/>
                          <w:lang w:val="en-US"/>
                        </w:rPr>
                        <w:t>Combination therapy;</w:t>
                      </w:r>
                      <w:r w:rsidRPr="003D4C10">
                        <w:rPr>
                          <w:rFonts w:ascii="Arial" w:hAnsi="Arial" w:cs="Arial"/>
                          <w:lang w:val="en-US"/>
                        </w:rPr>
                        <w:t xml:space="preserve"> use of multiple antimicrobials to which the targeted organisms do not show cross-resistance.</w:t>
                      </w:r>
                      <w:proofErr w:type="gramEnd"/>
                      <w:r w:rsidRPr="003D4C10">
                        <w:rPr>
                          <w:rFonts w:ascii="Arial" w:hAnsi="Arial" w:cs="Arial"/>
                          <w:lang w:val="en-US"/>
                        </w:rPr>
                        <w:t xml:space="preserve"> This relies on microbial populations containing singly resistant mutants, but none resistant simultaneously to multiple drugs.</w:t>
                      </w:r>
                      <w:r w:rsidRPr="003D4C10">
                        <w:rPr>
                          <w:rFonts w:ascii="Arial" w:hAnsi="Arial"/>
                          <w:lang w:val="en-US"/>
                        </w:rPr>
                        <w:t xml:space="preserve"> However the increasing prevalence of multidrug resistant strains necessitates careful evaluation to ensure efficacy of drug combinations. </w:t>
                      </w:r>
                      <w:r w:rsidRPr="003D4C10">
                        <w:rPr>
                          <w:rFonts w:ascii="Arial" w:hAnsi="Arial" w:cs="Arial"/>
                          <w:lang w:val="en-US"/>
                        </w:rPr>
                        <w:t>This strategy has been successful in preventing or delaying resistance in tuberculosis, HIV and malaria</w:t>
                      </w:r>
                      <w:r w:rsidRPr="00667A9F">
                        <w:rPr>
                          <w:rFonts w:ascii="Arial" w:hAnsi="Arial" w:cs="Arial"/>
                          <w:highlight w:val="yellow"/>
                          <w:lang w:val="en-US"/>
                        </w:rPr>
                        <w:t>.</w:t>
                      </w:r>
                      <w:r w:rsidRPr="003D4C10">
                        <w:rPr>
                          <w:rFonts w:ascii="Arial" w:hAnsi="Arial" w:cs="Arial"/>
                          <w:lang w:val="en-US"/>
                        </w:rPr>
                        <w:t xml:space="preserve"> However combination therapy successes for the organisms causing these diseases are not directly translatable to bacterial infections and have not been widely recommended to date, often because of the increased cost, but also from fear of incremental, unwanted, disturbance of the microbiome. Furthermore, the differentials in half-life of agents used in combination must be carefully considered, or unintentional monotherapy may ensue. In conclusion, the risk-benefit of combination therapy is unclear and further work is urgently needed to clarify these issues. </w:t>
                      </w:r>
                    </w:p>
                  </w:txbxContent>
                </v:textbox>
              </v:shape>
            </w:pict>
          </mc:Fallback>
        </mc:AlternateContent>
      </w:r>
      <w:proofErr w:type="gramStart"/>
      <w:r w:rsidR="00190410" w:rsidRPr="000767AE">
        <w:rPr>
          <w:rFonts w:ascii="Arial" w:hAnsi="Arial" w:cs="Arial"/>
          <w:b/>
        </w:rPr>
        <w:t>Panel 2.</w:t>
      </w:r>
      <w:proofErr w:type="gramEnd"/>
      <w:r w:rsidR="00190410" w:rsidRPr="000767AE">
        <w:rPr>
          <w:rFonts w:ascii="Arial" w:hAnsi="Arial" w:cs="Arial"/>
          <w:b/>
        </w:rPr>
        <w:t xml:space="preserve"> </w:t>
      </w:r>
      <w:r w:rsidR="00482045" w:rsidRPr="000767AE">
        <w:rPr>
          <w:rFonts w:ascii="Arial" w:hAnsi="Arial" w:cs="Arial"/>
          <w:b/>
        </w:rPr>
        <w:t xml:space="preserve"> Potential </w:t>
      </w:r>
      <w:r w:rsidR="0021134C" w:rsidRPr="000767AE">
        <w:rPr>
          <w:rFonts w:ascii="Arial" w:hAnsi="Arial" w:cs="Arial"/>
          <w:b/>
        </w:rPr>
        <w:t>a</w:t>
      </w:r>
      <w:r w:rsidR="00994D67" w:rsidRPr="000767AE">
        <w:rPr>
          <w:rFonts w:ascii="Arial" w:hAnsi="Arial" w:cs="Arial"/>
          <w:b/>
        </w:rPr>
        <w:t xml:space="preserve">pproaches to </w:t>
      </w:r>
      <w:r w:rsidR="00994D67" w:rsidRPr="000767AE">
        <w:rPr>
          <w:rFonts w:ascii="Arial" w:hAnsi="Arial" w:cs="Arial"/>
          <w:b/>
          <w:lang w:val="en-US"/>
        </w:rPr>
        <w:t>prolong the useful therapeutic life of currently available antimicrobials.</w:t>
      </w:r>
    </w:p>
    <w:p w14:paraId="554AC2ED" w14:textId="77777777" w:rsidR="004E400F" w:rsidRPr="000767AE" w:rsidRDefault="004E400F" w:rsidP="00386E99">
      <w:pPr>
        <w:pStyle w:val="NormalWeb"/>
        <w:divId w:val="1073503928"/>
        <w:rPr>
          <w:rFonts w:ascii="Arial" w:hAnsi="Arial" w:cs="Arial"/>
          <w:b/>
          <w:lang w:val="en-US"/>
        </w:rPr>
      </w:pPr>
    </w:p>
    <w:p w14:paraId="1A5746C5" w14:textId="77777777" w:rsidR="004E400F" w:rsidRPr="000767AE" w:rsidRDefault="004E400F" w:rsidP="00386E99">
      <w:pPr>
        <w:pStyle w:val="NormalWeb"/>
        <w:divId w:val="1073503928"/>
        <w:rPr>
          <w:rFonts w:ascii="Arial" w:hAnsi="Arial" w:cs="Arial"/>
          <w:b/>
          <w:lang w:val="en-US"/>
        </w:rPr>
      </w:pPr>
    </w:p>
    <w:p w14:paraId="786B498D" w14:textId="77777777" w:rsidR="004E400F" w:rsidRPr="000767AE" w:rsidRDefault="004E400F" w:rsidP="00386E99">
      <w:pPr>
        <w:pStyle w:val="NormalWeb"/>
        <w:divId w:val="1073503928"/>
        <w:rPr>
          <w:rFonts w:ascii="Arial" w:hAnsi="Arial" w:cs="Arial"/>
          <w:b/>
          <w:lang w:val="en-US"/>
        </w:rPr>
      </w:pPr>
    </w:p>
    <w:p w14:paraId="04A4A37C" w14:textId="77777777" w:rsidR="004E400F" w:rsidRPr="000767AE" w:rsidRDefault="004E400F" w:rsidP="00386E99">
      <w:pPr>
        <w:pStyle w:val="NormalWeb"/>
        <w:divId w:val="1073503928"/>
        <w:rPr>
          <w:rFonts w:ascii="Arial" w:hAnsi="Arial" w:cs="Arial"/>
          <w:b/>
          <w:lang w:val="en-US"/>
        </w:rPr>
      </w:pPr>
    </w:p>
    <w:p w14:paraId="20A4CA04" w14:textId="77777777" w:rsidR="004E400F" w:rsidRPr="000767AE" w:rsidRDefault="004E400F" w:rsidP="00386E99">
      <w:pPr>
        <w:pStyle w:val="NormalWeb"/>
        <w:divId w:val="1073503928"/>
        <w:rPr>
          <w:rFonts w:ascii="Arial" w:hAnsi="Arial" w:cs="Arial"/>
          <w:b/>
          <w:lang w:val="en-US"/>
        </w:rPr>
      </w:pPr>
    </w:p>
    <w:p w14:paraId="2D9EF2AC" w14:textId="77777777" w:rsidR="004E400F" w:rsidRPr="000767AE" w:rsidRDefault="004E400F" w:rsidP="00386E99">
      <w:pPr>
        <w:pStyle w:val="NormalWeb"/>
        <w:divId w:val="1073503928"/>
        <w:rPr>
          <w:rFonts w:ascii="Arial" w:hAnsi="Arial" w:cs="Arial"/>
          <w:b/>
          <w:lang w:val="en-US"/>
        </w:rPr>
      </w:pPr>
    </w:p>
    <w:p w14:paraId="3CC8A079" w14:textId="77777777" w:rsidR="004E400F" w:rsidRPr="000767AE" w:rsidRDefault="004E400F" w:rsidP="00386E99">
      <w:pPr>
        <w:pStyle w:val="NormalWeb"/>
        <w:divId w:val="1073503928"/>
        <w:rPr>
          <w:rFonts w:ascii="Arial" w:hAnsi="Arial" w:cs="Arial"/>
          <w:b/>
          <w:lang w:val="en-US"/>
        </w:rPr>
      </w:pPr>
    </w:p>
    <w:p w14:paraId="63CD494A" w14:textId="77777777" w:rsidR="004E400F" w:rsidRPr="000767AE" w:rsidRDefault="004E400F" w:rsidP="00386E99">
      <w:pPr>
        <w:pStyle w:val="NormalWeb"/>
        <w:divId w:val="1073503928"/>
        <w:rPr>
          <w:rFonts w:ascii="Arial" w:hAnsi="Arial" w:cs="Arial"/>
          <w:b/>
          <w:lang w:val="en-US"/>
        </w:rPr>
      </w:pPr>
    </w:p>
    <w:p w14:paraId="65138D33" w14:textId="77777777" w:rsidR="004E400F" w:rsidRPr="000767AE" w:rsidRDefault="004E400F" w:rsidP="00386E99">
      <w:pPr>
        <w:pStyle w:val="NormalWeb"/>
        <w:divId w:val="1073503928"/>
        <w:rPr>
          <w:rFonts w:ascii="Arial" w:hAnsi="Arial" w:cs="Arial"/>
          <w:b/>
          <w:lang w:val="en-US"/>
        </w:rPr>
      </w:pPr>
    </w:p>
    <w:p w14:paraId="6E9B09C7" w14:textId="77777777" w:rsidR="004E400F" w:rsidRPr="000767AE" w:rsidRDefault="004E400F" w:rsidP="00386E99">
      <w:pPr>
        <w:pStyle w:val="NormalWeb"/>
        <w:divId w:val="1073503928"/>
        <w:rPr>
          <w:rFonts w:ascii="Arial" w:hAnsi="Arial" w:cs="Arial"/>
          <w:b/>
          <w:lang w:val="en-US"/>
        </w:rPr>
      </w:pPr>
    </w:p>
    <w:p w14:paraId="4D53A00E" w14:textId="77777777" w:rsidR="004E400F" w:rsidRPr="000767AE" w:rsidRDefault="004E400F" w:rsidP="00386E99">
      <w:pPr>
        <w:pStyle w:val="NormalWeb"/>
        <w:divId w:val="1073503928"/>
        <w:rPr>
          <w:rFonts w:ascii="Arial" w:hAnsi="Arial" w:cs="Arial"/>
          <w:b/>
          <w:lang w:val="en-US"/>
        </w:rPr>
      </w:pPr>
    </w:p>
    <w:p w14:paraId="348B7375" w14:textId="77777777" w:rsidR="004E400F" w:rsidRPr="000767AE" w:rsidRDefault="004E400F" w:rsidP="00386E99">
      <w:pPr>
        <w:pStyle w:val="NormalWeb"/>
        <w:divId w:val="1073503928"/>
        <w:rPr>
          <w:rFonts w:ascii="Arial" w:hAnsi="Arial" w:cs="Arial"/>
          <w:b/>
          <w:lang w:val="en-US"/>
        </w:rPr>
      </w:pPr>
    </w:p>
    <w:p w14:paraId="22C655EF" w14:textId="77777777" w:rsidR="004E400F" w:rsidRPr="000767AE" w:rsidRDefault="004E400F" w:rsidP="00386E99">
      <w:pPr>
        <w:pStyle w:val="NormalWeb"/>
        <w:divId w:val="1073503928"/>
        <w:rPr>
          <w:rFonts w:ascii="Arial" w:hAnsi="Arial" w:cs="Arial"/>
          <w:b/>
          <w:lang w:val="en-US"/>
        </w:rPr>
      </w:pPr>
    </w:p>
    <w:p w14:paraId="46049918" w14:textId="77777777" w:rsidR="004E400F" w:rsidRPr="000767AE" w:rsidRDefault="004E400F" w:rsidP="00386E99">
      <w:pPr>
        <w:pStyle w:val="NormalWeb"/>
        <w:divId w:val="1073503928"/>
        <w:rPr>
          <w:rFonts w:ascii="Arial" w:hAnsi="Arial" w:cs="Arial"/>
          <w:b/>
          <w:lang w:val="en-US"/>
        </w:rPr>
      </w:pPr>
    </w:p>
    <w:p w14:paraId="65A2CA9C" w14:textId="77777777" w:rsidR="004E400F" w:rsidRPr="000767AE" w:rsidRDefault="004E400F" w:rsidP="00386E99">
      <w:pPr>
        <w:pStyle w:val="NormalWeb"/>
        <w:divId w:val="1073503928"/>
        <w:rPr>
          <w:rFonts w:ascii="Arial" w:hAnsi="Arial" w:cs="Arial"/>
          <w:b/>
          <w:lang w:val="en-US"/>
        </w:rPr>
      </w:pPr>
    </w:p>
    <w:p w14:paraId="3AB31C28" w14:textId="77777777" w:rsidR="004E400F" w:rsidRPr="000767AE" w:rsidRDefault="004E400F" w:rsidP="00386E99">
      <w:pPr>
        <w:pStyle w:val="NormalWeb"/>
        <w:divId w:val="1073503928"/>
        <w:rPr>
          <w:rFonts w:ascii="Arial" w:hAnsi="Arial" w:cs="Arial"/>
          <w:b/>
          <w:lang w:val="en-US"/>
        </w:rPr>
      </w:pPr>
    </w:p>
    <w:p w14:paraId="33532183" w14:textId="77777777" w:rsidR="004E400F" w:rsidRPr="000767AE" w:rsidRDefault="004E400F" w:rsidP="00386E99">
      <w:pPr>
        <w:pStyle w:val="NormalWeb"/>
        <w:divId w:val="1073503928"/>
        <w:rPr>
          <w:rFonts w:ascii="Arial" w:hAnsi="Arial" w:cs="Arial"/>
          <w:b/>
          <w:lang w:val="en-US"/>
        </w:rPr>
      </w:pPr>
    </w:p>
    <w:p w14:paraId="7CBD7C03" w14:textId="77777777" w:rsidR="004E400F" w:rsidRPr="000767AE" w:rsidRDefault="004E400F" w:rsidP="00386E99">
      <w:pPr>
        <w:pStyle w:val="NormalWeb"/>
        <w:divId w:val="1073503928"/>
        <w:rPr>
          <w:rFonts w:ascii="Arial" w:hAnsi="Arial" w:cs="Arial"/>
          <w:b/>
          <w:lang w:val="en-US"/>
        </w:rPr>
      </w:pPr>
    </w:p>
    <w:p w14:paraId="478E0372" w14:textId="77777777" w:rsidR="004E400F" w:rsidRPr="000767AE" w:rsidRDefault="004E400F" w:rsidP="00386E99">
      <w:pPr>
        <w:pStyle w:val="NormalWeb"/>
        <w:divId w:val="1073503928"/>
        <w:rPr>
          <w:rFonts w:ascii="Arial" w:hAnsi="Arial" w:cs="Arial"/>
          <w:b/>
          <w:lang w:val="en-US"/>
        </w:rPr>
      </w:pPr>
    </w:p>
    <w:p w14:paraId="2E26FE03" w14:textId="77777777" w:rsidR="004E400F" w:rsidRPr="000767AE" w:rsidRDefault="004E400F" w:rsidP="00386E99">
      <w:pPr>
        <w:pStyle w:val="NormalWeb"/>
        <w:divId w:val="1073503928"/>
        <w:rPr>
          <w:rFonts w:ascii="Arial" w:hAnsi="Arial" w:cs="Arial"/>
          <w:b/>
          <w:lang w:val="en-US"/>
        </w:rPr>
      </w:pPr>
    </w:p>
    <w:p w14:paraId="0B91FA9C" w14:textId="77777777" w:rsidR="004E400F" w:rsidRPr="000767AE" w:rsidRDefault="004E400F" w:rsidP="00386E99">
      <w:pPr>
        <w:pStyle w:val="NormalWeb"/>
        <w:divId w:val="1073503928"/>
        <w:rPr>
          <w:rFonts w:ascii="Arial" w:hAnsi="Arial" w:cs="Arial"/>
          <w:b/>
          <w:lang w:val="en-US"/>
        </w:rPr>
      </w:pPr>
    </w:p>
    <w:p w14:paraId="1DFE961B" w14:textId="77777777" w:rsidR="004E400F" w:rsidRPr="000767AE" w:rsidRDefault="004E400F" w:rsidP="00386E99">
      <w:pPr>
        <w:pStyle w:val="NormalWeb"/>
        <w:divId w:val="1073503928"/>
        <w:rPr>
          <w:rFonts w:ascii="Arial" w:hAnsi="Arial" w:cs="Arial"/>
          <w:b/>
          <w:lang w:val="en-US"/>
        </w:rPr>
      </w:pPr>
    </w:p>
    <w:p w14:paraId="21B4A299" w14:textId="77777777" w:rsidR="004E400F" w:rsidRPr="000767AE" w:rsidRDefault="004E400F" w:rsidP="00386E99">
      <w:pPr>
        <w:pStyle w:val="NormalWeb"/>
        <w:divId w:val="1073503928"/>
        <w:rPr>
          <w:rFonts w:ascii="Arial" w:hAnsi="Arial" w:cs="Arial"/>
          <w:b/>
          <w:lang w:val="en-US"/>
        </w:rPr>
      </w:pPr>
    </w:p>
    <w:sectPr w:rsidR="004E400F" w:rsidRPr="000767AE" w:rsidSect="00386E99">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279EB3" w14:textId="77777777" w:rsidR="003D1715" w:rsidRDefault="003D1715" w:rsidP="00FE4E3D">
      <w:r>
        <w:separator/>
      </w:r>
    </w:p>
  </w:endnote>
  <w:endnote w:type="continuationSeparator" w:id="0">
    <w:p w14:paraId="37E0CBD5" w14:textId="77777777" w:rsidR="003D1715" w:rsidRDefault="003D1715" w:rsidP="00FE4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A140E1" w14:textId="77777777" w:rsidR="003D1715" w:rsidRDefault="003D1715" w:rsidP="00FE4E3D">
      <w:r>
        <w:separator/>
      </w:r>
    </w:p>
  </w:footnote>
  <w:footnote w:type="continuationSeparator" w:id="0">
    <w:p w14:paraId="6CA07847" w14:textId="77777777" w:rsidR="003D1715" w:rsidRDefault="003D1715" w:rsidP="00FE4E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4608F"/>
    <w:multiLevelType w:val="hybridMultilevel"/>
    <w:tmpl w:val="242E51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E64AB3"/>
    <w:multiLevelType w:val="hybridMultilevel"/>
    <w:tmpl w:val="5C245498"/>
    <w:lvl w:ilvl="0" w:tplc="74F68344">
      <w:start w:val="3"/>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4C0868"/>
    <w:multiLevelType w:val="hybridMultilevel"/>
    <w:tmpl w:val="95E2795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15311CFB"/>
    <w:multiLevelType w:val="hybridMultilevel"/>
    <w:tmpl w:val="545A9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B2F1E05"/>
    <w:multiLevelType w:val="hybridMultilevel"/>
    <w:tmpl w:val="A4FA840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1C6515D0"/>
    <w:multiLevelType w:val="hybridMultilevel"/>
    <w:tmpl w:val="0748AFE2"/>
    <w:lvl w:ilvl="0" w:tplc="272C2CB4">
      <w:start w:val="1"/>
      <w:numFmt w:val="bullet"/>
      <w:lvlText w:val=""/>
      <w:lvlJc w:val="left"/>
      <w:pPr>
        <w:ind w:left="720" w:hanging="360"/>
      </w:pPr>
      <w:rPr>
        <w:rFonts w:ascii="Symbol" w:hAnsi="Symbol"/>
      </w:rPr>
    </w:lvl>
    <w:lvl w:ilvl="1" w:tplc="5844BB34">
      <w:start w:val="1"/>
      <w:numFmt w:val="bullet"/>
      <w:lvlText w:val="o"/>
      <w:lvlJc w:val="left"/>
      <w:pPr>
        <w:ind w:left="1440" w:hanging="360"/>
      </w:pPr>
      <w:rPr>
        <w:rFonts w:ascii="Courier New" w:hAnsi="Courier New"/>
      </w:rPr>
    </w:lvl>
    <w:lvl w:ilvl="2" w:tplc="74B60276">
      <w:start w:val="1"/>
      <w:numFmt w:val="bullet"/>
      <w:lvlText w:val=""/>
      <w:lvlJc w:val="left"/>
      <w:pPr>
        <w:ind w:left="2160" w:hanging="360"/>
      </w:pPr>
      <w:rPr>
        <w:rFonts w:ascii="Wingdings" w:hAnsi="Wingdings"/>
      </w:rPr>
    </w:lvl>
    <w:lvl w:ilvl="3" w:tplc="DDD26EE6">
      <w:start w:val="1"/>
      <w:numFmt w:val="bullet"/>
      <w:lvlText w:val=""/>
      <w:lvlJc w:val="left"/>
      <w:pPr>
        <w:ind w:left="2880" w:hanging="360"/>
      </w:pPr>
      <w:rPr>
        <w:rFonts w:ascii="Symbol" w:hAnsi="Symbol"/>
      </w:rPr>
    </w:lvl>
    <w:lvl w:ilvl="4" w:tplc="D6D428DE">
      <w:start w:val="1"/>
      <w:numFmt w:val="bullet"/>
      <w:lvlText w:val="o"/>
      <w:lvlJc w:val="left"/>
      <w:pPr>
        <w:ind w:left="3600" w:hanging="360"/>
      </w:pPr>
      <w:rPr>
        <w:rFonts w:ascii="Courier New" w:hAnsi="Courier New"/>
      </w:rPr>
    </w:lvl>
    <w:lvl w:ilvl="5" w:tplc="2F38C854">
      <w:start w:val="1"/>
      <w:numFmt w:val="bullet"/>
      <w:lvlText w:val=""/>
      <w:lvlJc w:val="left"/>
      <w:pPr>
        <w:ind w:left="4320" w:hanging="360"/>
      </w:pPr>
      <w:rPr>
        <w:rFonts w:ascii="Wingdings" w:hAnsi="Wingdings"/>
      </w:rPr>
    </w:lvl>
    <w:lvl w:ilvl="6" w:tplc="CC464B82">
      <w:start w:val="1"/>
      <w:numFmt w:val="bullet"/>
      <w:lvlText w:val=""/>
      <w:lvlJc w:val="left"/>
      <w:pPr>
        <w:ind w:left="5040" w:hanging="360"/>
      </w:pPr>
      <w:rPr>
        <w:rFonts w:ascii="Symbol" w:hAnsi="Symbol"/>
      </w:rPr>
    </w:lvl>
    <w:lvl w:ilvl="7" w:tplc="0F826E7E">
      <w:start w:val="1"/>
      <w:numFmt w:val="bullet"/>
      <w:lvlText w:val="o"/>
      <w:lvlJc w:val="left"/>
      <w:pPr>
        <w:ind w:left="5760" w:hanging="360"/>
      </w:pPr>
      <w:rPr>
        <w:rFonts w:ascii="Courier New" w:hAnsi="Courier New"/>
      </w:rPr>
    </w:lvl>
    <w:lvl w:ilvl="8" w:tplc="3404DA64">
      <w:start w:val="1"/>
      <w:numFmt w:val="bullet"/>
      <w:lvlText w:val=""/>
      <w:lvlJc w:val="left"/>
      <w:pPr>
        <w:ind w:left="6480" w:hanging="360"/>
      </w:pPr>
      <w:rPr>
        <w:rFonts w:ascii="Wingdings" w:hAnsi="Wingdings"/>
      </w:rPr>
    </w:lvl>
  </w:abstractNum>
  <w:abstractNum w:abstractNumId="6">
    <w:nsid w:val="25FE42A6"/>
    <w:multiLevelType w:val="hybridMultilevel"/>
    <w:tmpl w:val="AE86B5B6"/>
    <w:lvl w:ilvl="0" w:tplc="3CE46ECA">
      <w:start w:val="1"/>
      <w:numFmt w:val="bullet"/>
      <w:lvlText w:val=""/>
      <w:lvlJc w:val="left"/>
      <w:pPr>
        <w:ind w:left="720" w:hanging="360"/>
      </w:pPr>
      <w:rPr>
        <w:rFonts w:ascii="Symbol" w:hAnsi="Symbol"/>
      </w:rPr>
    </w:lvl>
    <w:lvl w:ilvl="1" w:tplc="9BD271FE">
      <w:start w:val="4"/>
      <w:numFmt w:val="bullet"/>
      <w:lvlText w:val="•"/>
      <w:lvlJc w:val="left"/>
      <w:pPr>
        <w:ind w:left="1800" w:hanging="720"/>
      </w:pPr>
      <w:rPr>
        <w:rFonts w:ascii="Arial" w:hAnsi="Arial"/>
      </w:rPr>
    </w:lvl>
    <w:lvl w:ilvl="2" w:tplc="759A206A">
      <w:start w:val="1"/>
      <w:numFmt w:val="bullet"/>
      <w:lvlText w:val=""/>
      <w:lvlJc w:val="left"/>
      <w:pPr>
        <w:ind w:left="2160" w:hanging="360"/>
      </w:pPr>
      <w:rPr>
        <w:rFonts w:ascii="Wingdings" w:hAnsi="Wingdings"/>
      </w:rPr>
    </w:lvl>
    <w:lvl w:ilvl="3" w:tplc="DD9412EC">
      <w:start w:val="1"/>
      <w:numFmt w:val="bullet"/>
      <w:lvlText w:val=""/>
      <w:lvlJc w:val="left"/>
      <w:pPr>
        <w:ind w:left="2880" w:hanging="360"/>
      </w:pPr>
      <w:rPr>
        <w:rFonts w:ascii="Symbol" w:hAnsi="Symbol"/>
      </w:rPr>
    </w:lvl>
    <w:lvl w:ilvl="4" w:tplc="6D04D458">
      <w:start w:val="1"/>
      <w:numFmt w:val="bullet"/>
      <w:lvlText w:val="o"/>
      <w:lvlJc w:val="left"/>
      <w:pPr>
        <w:ind w:left="3600" w:hanging="360"/>
      </w:pPr>
      <w:rPr>
        <w:rFonts w:ascii="Courier New" w:hAnsi="Courier New"/>
      </w:rPr>
    </w:lvl>
    <w:lvl w:ilvl="5" w:tplc="B4E897AE">
      <w:start w:val="1"/>
      <w:numFmt w:val="bullet"/>
      <w:lvlText w:val=""/>
      <w:lvlJc w:val="left"/>
      <w:pPr>
        <w:ind w:left="4320" w:hanging="360"/>
      </w:pPr>
      <w:rPr>
        <w:rFonts w:ascii="Wingdings" w:hAnsi="Wingdings"/>
      </w:rPr>
    </w:lvl>
    <w:lvl w:ilvl="6" w:tplc="988469C4">
      <w:start w:val="1"/>
      <w:numFmt w:val="bullet"/>
      <w:lvlText w:val=""/>
      <w:lvlJc w:val="left"/>
      <w:pPr>
        <w:ind w:left="5040" w:hanging="360"/>
      </w:pPr>
      <w:rPr>
        <w:rFonts w:ascii="Symbol" w:hAnsi="Symbol"/>
      </w:rPr>
    </w:lvl>
    <w:lvl w:ilvl="7" w:tplc="19D45AFC">
      <w:start w:val="1"/>
      <w:numFmt w:val="bullet"/>
      <w:lvlText w:val="o"/>
      <w:lvlJc w:val="left"/>
      <w:pPr>
        <w:ind w:left="5760" w:hanging="360"/>
      </w:pPr>
      <w:rPr>
        <w:rFonts w:ascii="Courier New" w:hAnsi="Courier New"/>
      </w:rPr>
    </w:lvl>
    <w:lvl w:ilvl="8" w:tplc="0678AB00">
      <w:start w:val="1"/>
      <w:numFmt w:val="bullet"/>
      <w:lvlText w:val=""/>
      <w:lvlJc w:val="left"/>
      <w:pPr>
        <w:ind w:left="6480" w:hanging="360"/>
      </w:pPr>
      <w:rPr>
        <w:rFonts w:ascii="Wingdings" w:hAnsi="Wingdings"/>
      </w:rPr>
    </w:lvl>
  </w:abstractNum>
  <w:abstractNum w:abstractNumId="7">
    <w:nsid w:val="2AFD6464"/>
    <w:multiLevelType w:val="hybridMultilevel"/>
    <w:tmpl w:val="C4A0D9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D4851D8"/>
    <w:multiLevelType w:val="hybridMultilevel"/>
    <w:tmpl w:val="1CC63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1A71B57"/>
    <w:multiLevelType w:val="hybridMultilevel"/>
    <w:tmpl w:val="23605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20C43C9"/>
    <w:multiLevelType w:val="hybridMultilevel"/>
    <w:tmpl w:val="A56C9F60"/>
    <w:lvl w:ilvl="0" w:tplc="AA9EDD98">
      <w:numFmt w:val="bullet"/>
      <w:lvlText w:val=""/>
      <w:lvlJc w:val="left"/>
      <w:pPr>
        <w:ind w:left="720" w:hanging="360"/>
      </w:pPr>
      <w:rPr>
        <w:rFonts w:ascii="Wingdings" w:eastAsiaTheme="minorHAnsi"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AE602B"/>
    <w:multiLevelType w:val="hybridMultilevel"/>
    <w:tmpl w:val="0748A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3FBC4A6C"/>
    <w:multiLevelType w:val="hybridMultilevel"/>
    <w:tmpl w:val="43AA2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538C63E5"/>
    <w:multiLevelType w:val="hybridMultilevel"/>
    <w:tmpl w:val="94D4F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1859C3"/>
    <w:multiLevelType w:val="multilevel"/>
    <w:tmpl w:val="9DB0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FD3DA2"/>
    <w:multiLevelType w:val="hybridMultilevel"/>
    <w:tmpl w:val="4B36D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B77162"/>
    <w:multiLevelType w:val="hybridMultilevel"/>
    <w:tmpl w:val="36E8BE3C"/>
    <w:lvl w:ilvl="0" w:tplc="B4DC1090">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C3C0A58"/>
    <w:multiLevelType w:val="hybridMultilevel"/>
    <w:tmpl w:val="A31ACE80"/>
    <w:lvl w:ilvl="0" w:tplc="795AEF7C">
      <w:start w:val="1"/>
      <w:numFmt w:val="bullet"/>
      <w:lvlText w:val=""/>
      <w:lvlJc w:val="left"/>
      <w:pPr>
        <w:ind w:left="360" w:hanging="360"/>
      </w:pPr>
      <w:rPr>
        <w:rFonts w:ascii="Symbol" w:hAnsi="Symbol"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2C119A0"/>
    <w:multiLevelType w:val="hybridMultilevel"/>
    <w:tmpl w:val="1F8698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76585676"/>
    <w:multiLevelType w:val="hybridMultilevel"/>
    <w:tmpl w:val="8DE62BA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9DC472D"/>
    <w:multiLevelType w:val="hybridMultilevel"/>
    <w:tmpl w:val="AE86B5B6"/>
    <w:lvl w:ilvl="0" w:tplc="08090001">
      <w:start w:val="1"/>
      <w:numFmt w:val="bullet"/>
      <w:lvlText w:val=""/>
      <w:lvlJc w:val="left"/>
      <w:pPr>
        <w:ind w:left="720" w:hanging="360"/>
      </w:pPr>
      <w:rPr>
        <w:rFonts w:ascii="Symbol" w:hAnsi="Symbol" w:hint="default"/>
      </w:rPr>
    </w:lvl>
    <w:lvl w:ilvl="1" w:tplc="218689E4">
      <w:start w:val="4"/>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C3C5AB9"/>
    <w:multiLevelType w:val="hybridMultilevel"/>
    <w:tmpl w:val="D7988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E65335F"/>
    <w:multiLevelType w:val="hybridMultilevel"/>
    <w:tmpl w:val="C442B328"/>
    <w:lvl w:ilvl="0" w:tplc="933C0B4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3"/>
  </w:num>
  <w:num w:numId="4">
    <w:abstractNumId w:val="11"/>
  </w:num>
  <w:num w:numId="5">
    <w:abstractNumId w:val="20"/>
  </w:num>
  <w:num w:numId="6">
    <w:abstractNumId w:val="2"/>
  </w:num>
  <w:num w:numId="7">
    <w:abstractNumId w:val="19"/>
  </w:num>
  <w:num w:numId="8">
    <w:abstractNumId w:val="7"/>
  </w:num>
  <w:num w:numId="9">
    <w:abstractNumId w:val="4"/>
  </w:num>
  <w:num w:numId="10">
    <w:abstractNumId w:val="5"/>
  </w:num>
  <w:num w:numId="11">
    <w:abstractNumId w:val="6"/>
  </w:num>
  <w:num w:numId="12">
    <w:abstractNumId w:val="10"/>
  </w:num>
  <w:num w:numId="13">
    <w:abstractNumId w:val="22"/>
  </w:num>
  <w:num w:numId="14">
    <w:abstractNumId w:val="16"/>
  </w:num>
  <w:num w:numId="15">
    <w:abstractNumId w:val="17"/>
  </w:num>
  <w:num w:numId="16">
    <w:abstractNumId w:val="15"/>
  </w:num>
  <w:num w:numId="17">
    <w:abstractNumId w:val="0"/>
  </w:num>
  <w:num w:numId="18">
    <w:abstractNumId w:val="14"/>
  </w:num>
  <w:num w:numId="19">
    <w:abstractNumId w:val="13"/>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8"/>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GB"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3CE"/>
    <w:rsid w:val="00000B0D"/>
    <w:rsid w:val="000029CD"/>
    <w:rsid w:val="000052B3"/>
    <w:rsid w:val="00007CB3"/>
    <w:rsid w:val="00011DD4"/>
    <w:rsid w:val="00013638"/>
    <w:rsid w:val="00013953"/>
    <w:rsid w:val="00020300"/>
    <w:rsid w:val="000232F3"/>
    <w:rsid w:val="00027A3F"/>
    <w:rsid w:val="0003071A"/>
    <w:rsid w:val="00030E23"/>
    <w:rsid w:val="000310E5"/>
    <w:rsid w:val="000310EB"/>
    <w:rsid w:val="00031D0D"/>
    <w:rsid w:val="000325F8"/>
    <w:rsid w:val="00032A95"/>
    <w:rsid w:val="00037149"/>
    <w:rsid w:val="00037A73"/>
    <w:rsid w:val="000405FB"/>
    <w:rsid w:val="00040B74"/>
    <w:rsid w:val="00043F27"/>
    <w:rsid w:val="0004400F"/>
    <w:rsid w:val="00051729"/>
    <w:rsid w:val="00055055"/>
    <w:rsid w:val="000557C3"/>
    <w:rsid w:val="00063872"/>
    <w:rsid w:val="00064D48"/>
    <w:rsid w:val="000719B7"/>
    <w:rsid w:val="000767AE"/>
    <w:rsid w:val="00082A90"/>
    <w:rsid w:val="00085DAE"/>
    <w:rsid w:val="0008712B"/>
    <w:rsid w:val="00087B96"/>
    <w:rsid w:val="000965F9"/>
    <w:rsid w:val="000A6197"/>
    <w:rsid w:val="000B00C9"/>
    <w:rsid w:val="000B14E1"/>
    <w:rsid w:val="000B17B2"/>
    <w:rsid w:val="000B36A4"/>
    <w:rsid w:val="000B3AB7"/>
    <w:rsid w:val="000B40D5"/>
    <w:rsid w:val="000B60D0"/>
    <w:rsid w:val="000C3C79"/>
    <w:rsid w:val="000C6C95"/>
    <w:rsid w:val="000D12A9"/>
    <w:rsid w:val="000D27F1"/>
    <w:rsid w:val="000D4332"/>
    <w:rsid w:val="000E00F2"/>
    <w:rsid w:val="000E56D5"/>
    <w:rsid w:val="000E5880"/>
    <w:rsid w:val="000E5C74"/>
    <w:rsid w:val="000F0656"/>
    <w:rsid w:val="000F3F1D"/>
    <w:rsid w:val="000F5507"/>
    <w:rsid w:val="00101E75"/>
    <w:rsid w:val="0010702A"/>
    <w:rsid w:val="001076CE"/>
    <w:rsid w:val="00111DF9"/>
    <w:rsid w:val="00113F45"/>
    <w:rsid w:val="00124B93"/>
    <w:rsid w:val="00126F69"/>
    <w:rsid w:val="00130A1F"/>
    <w:rsid w:val="00136593"/>
    <w:rsid w:val="00137589"/>
    <w:rsid w:val="001558E3"/>
    <w:rsid w:val="00155BEB"/>
    <w:rsid w:val="0015752F"/>
    <w:rsid w:val="00162F51"/>
    <w:rsid w:val="001655F1"/>
    <w:rsid w:val="00177E69"/>
    <w:rsid w:val="001826DE"/>
    <w:rsid w:val="00184C18"/>
    <w:rsid w:val="001851E1"/>
    <w:rsid w:val="00185B0E"/>
    <w:rsid w:val="00186326"/>
    <w:rsid w:val="00190155"/>
    <w:rsid w:val="00190410"/>
    <w:rsid w:val="00190C7D"/>
    <w:rsid w:val="00192536"/>
    <w:rsid w:val="00194288"/>
    <w:rsid w:val="00195C2D"/>
    <w:rsid w:val="001A303C"/>
    <w:rsid w:val="001A57DF"/>
    <w:rsid w:val="001B1AB1"/>
    <w:rsid w:val="001B3D12"/>
    <w:rsid w:val="001B691B"/>
    <w:rsid w:val="001B7CAB"/>
    <w:rsid w:val="001C370E"/>
    <w:rsid w:val="001D28A0"/>
    <w:rsid w:val="001D411A"/>
    <w:rsid w:val="001D67BD"/>
    <w:rsid w:val="001E0011"/>
    <w:rsid w:val="001E1A05"/>
    <w:rsid w:val="001E4080"/>
    <w:rsid w:val="001E6E73"/>
    <w:rsid w:val="001E703F"/>
    <w:rsid w:val="001F132B"/>
    <w:rsid w:val="001F2DB6"/>
    <w:rsid w:val="00200BAD"/>
    <w:rsid w:val="00201643"/>
    <w:rsid w:val="00202596"/>
    <w:rsid w:val="00205F75"/>
    <w:rsid w:val="0021134C"/>
    <w:rsid w:val="0021578B"/>
    <w:rsid w:val="00224782"/>
    <w:rsid w:val="00230BC9"/>
    <w:rsid w:val="00234CF3"/>
    <w:rsid w:val="0023644C"/>
    <w:rsid w:val="00236782"/>
    <w:rsid w:val="00241391"/>
    <w:rsid w:val="00251EEA"/>
    <w:rsid w:val="00254894"/>
    <w:rsid w:val="00255705"/>
    <w:rsid w:val="0025614C"/>
    <w:rsid w:val="00256B57"/>
    <w:rsid w:val="002640D2"/>
    <w:rsid w:val="002648E6"/>
    <w:rsid w:val="002765B4"/>
    <w:rsid w:val="00281176"/>
    <w:rsid w:val="0028759D"/>
    <w:rsid w:val="0028774E"/>
    <w:rsid w:val="002914EC"/>
    <w:rsid w:val="002958F0"/>
    <w:rsid w:val="002A3902"/>
    <w:rsid w:val="002A3C2F"/>
    <w:rsid w:val="002A6EDB"/>
    <w:rsid w:val="002A7B12"/>
    <w:rsid w:val="002B017A"/>
    <w:rsid w:val="002B2804"/>
    <w:rsid w:val="002B306F"/>
    <w:rsid w:val="002B446B"/>
    <w:rsid w:val="002B4EA0"/>
    <w:rsid w:val="002B7C2E"/>
    <w:rsid w:val="002B7E66"/>
    <w:rsid w:val="002C1356"/>
    <w:rsid w:val="002D0FFE"/>
    <w:rsid w:val="002F0742"/>
    <w:rsid w:val="002F108F"/>
    <w:rsid w:val="002F120E"/>
    <w:rsid w:val="002F25EE"/>
    <w:rsid w:val="002F67F6"/>
    <w:rsid w:val="003008F7"/>
    <w:rsid w:val="00307E33"/>
    <w:rsid w:val="00310002"/>
    <w:rsid w:val="00311435"/>
    <w:rsid w:val="00312CF4"/>
    <w:rsid w:val="00315C71"/>
    <w:rsid w:val="00317F05"/>
    <w:rsid w:val="003234D2"/>
    <w:rsid w:val="00334FAB"/>
    <w:rsid w:val="00336060"/>
    <w:rsid w:val="0033744D"/>
    <w:rsid w:val="003450A9"/>
    <w:rsid w:val="003450AA"/>
    <w:rsid w:val="00347A1A"/>
    <w:rsid w:val="00350005"/>
    <w:rsid w:val="00352E1F"/>
    <w:rsid w:val="0035605E"/>
    <w:rsid w:val="00357673"/>
    <w:rsid w:val="00364430"/>
    <w:rsid w:val="0036476D"/>
    <w:rsid w:val="0036513F"/>
    <w:rsid w:val="00367C57"/>
    <w:rsid w:val="00367E8D"/>
    <w:rsid w:val="00372290"/>
    <w:rsid w:val="00373C3D"/>
    <w:rsid w:val="00376F82"/>
    <w:rsid w:val="00377113"/>
    <w:rsid w:val="0038640F"/>
    <w:rsid w:val="00386E99"/>
    <w:rsid w:val="00392927"/>
    <w:rsid w:val="0039446A"/>
    <w:rsid w:val="003A1386"/>
    <w:rsid w:val="003B0015"/>
    <w:rsid w:val="003B67DB"/>
    <w:rsid w:val="003B6F16"/>
    <w:rsid w:val="003C0F15"/>
    <w:rsid w:val="003C6438"/>
    <w:rsid w:val="003D1715"/>
    <w:rsid w:val="003D17F4"/>
    <w:rsid w:val="003D4C10"/>
    <w:rsid w:val="003D678B"/>
    <w:rsid w:val="003E3715"/>
    <w:rsid w:val="003E5A45"/>
    <w:rsid w:val="003E5C71"/>
    <w:rsid w:val="003E6967"/>
    <w:rsid w:val="003F16CF"/>
    <w:rsid w:val="003F3728"/>
    <w:rsid w:val="00402F99"/>
    <w:rsid w:val="00403520"/>
    <w:rsid w:val="00410C51"/>
    <w:rsid w:val="00411E45"/>
    <w:rsid w:val="00412596"/>
    <w:rsid w:val="00414CEE"/>
    <w:rsid w:val="00414FFD"/>
    <w:rsid w:val="0041598A"/>
    <w:rsid w:val="00416046"/>
    <w:rsid w:val="00420956"/>
    <w:rsid w:val="00426962"/>
    <w:rsid w:val="00427F57"/>
    <w:rsid w:val="00432D3B"/>
    <w:rsid w:val="00440FC8"/>
    <w:rsid w:val="00442233"/>
    <w:rsid w:val="004434B8"/>
    <w:rsid w:val="00452D53"/>
    <w:rsid w:val="00453773"/>
    <w:rsid w:val="00454E7A"/>
    <w:rsid w:val="004568DC"/>
    <w:rsid w:val="00456DB7"/>
    <w:rsid w:val="0046268F"/>
    <w:rsid w:val="00462FA2"/>
    <w:rsid w:val="00464EB6"/>
    <w:rsid w:val="00466FBC"/>
    <w:rsid w:val="00467A9A"/>
    <w:rsid w:val="004805BF"/>
    <w:rsid w:val="00482045"/>
    <w:rsid w:val="00485EBB"/>
    <w:rsid w:val="004862E4"/>
    <w:rsid w:val="004876C7"/>
    <w:rsid w:val="00492195"/>
    <w:rsid w:val="00496123"/>
    <w:rsid w:val="004A617C"/>
    <w:rsid w:val="004B3040"/>
    <w:rsid w:val="004B5145"/>
    <w:rsid w:val="004C261A"/>
    <w:rsid w:val="004C468B"/>
    <w:rsid w:val="004C6802"/>
    <w:rsid w:val="004D1C20"/>
    <w:rsid w:val="004E36F0"/>
    <w:rsid w:val="004E400F"/>
    <w:rsid w:val="004E5208"/>
    <w:rsid w:val="004E70BD"/>
    <w:rsid w:val="004F10A7"/>
    <w:rsid w:val="004F24C0"/>
    <w:rsid w:val="0050003D"/>
    <w:rsid w:val="00504EEC"/>
    <w:rsid w:val="005073B6"/>
    <w:rsid w:val="00507565"/>
    <w:rsid w:val="005100F4"/>
    <w:rsid w:val="0051062A"/>
    <w:rsid w:val="00512399"/>
    <w:rsid w:val="00512D1E"/>
    <w:rsid w:val="00513E72"/>
    <w:rsid w:val="00516731"/>
    <w:rsid w:val="00521087"/>
    <w:rsid w:val="00530C49"/>
    <w:rsid w:val="00533D00"/>
    <w:rsid w:val="00535D1C"/>
    <w:rsid w:val="0053727D"/>
    <w:rsid w:val="00540248"/>
    <w:rsid w:val="00544E25"/>
    <w:rsid w:val="005470EB"/>
    <w:rsid w:val="00551CF0"/>
    <w:rsid w:val="005551C8"/>
    <w:rsid w:val="005637CD"/>
    <w:rsid w:val="0056412D"/>
    <w:rsid w:val="0056763C"/>
    <w:rsid w:val="00570918"/>
    <w:rsid w:val="00573018"/>
    <w:rsid w:val="00574423"/>
    <w:rsid w:val="00576EEF"/>
    <w:rsid w:val="00580DB0"/>
    <w:rsid w:val="00580FF6"/>
    <w:rsid w:val="00582B63"/>
    <w:rsid w:val="005922D3"/>
    <w:rsid w:val="00596D22"/>
    <w:rsid w:val="005973B9"/>
    <w:rsid w:val="005A16C4"/>
    <w:rsid w:val="005A2147"/>
    <w:rsid w:val="005A6C8E"/>
    <w:rsid w:val="005A7274"/>
    <w:rsid w:val="005B1087"/>
    <w:rsid w:val="005C70E7"/>
    <w:rsid w:val="005C7D92"/>
    <w:rsid w:val="005D1140"/>
    <w:rsid w:val="005D5143"/>
    <w:rsid w:val="005D5FFD"/>
    <w:rsid w:val="005D7E2F"/>
    <w:rsid w:val="005E3B76"/>
    <w:rsid w:val="005E46D3"/>
    <w:rsid w:val="005E5F77"/>
    <w:rsid w:val="005F1846"/>
    <w:rsid w:val="005F75AD"/>
    <w:rsid w:val="00600041"/>
    <w:rsid w:val="0060126D"/>
    <w:rsid w:val="00601FF2"/>
    <w:rsid w:val="00603668"/>
    <w:rsid w:val="00603EBD"/>
    <w:rsid w:val="006071C2"/>
    <w:rsid w:val="00607EA3"/>
    <w:rsid w:val="00607EFE"/>
    <w:rsid w:val="00611E32"/>
    <w:rsid w:val="00616D97"/>
    <w:rsid w:val="00620923"/>
    <w:rsid w:val="0062153B"/>
    <w:rsid w:val="00626C06"/>
    <w:rsid w:val="006332E3"/>
    <w:rsid w:val="00635A8E"/>
    <w:rsid w:val="00635C2C"/>
    <w:rsid w:val="00637228"/>
    <w:rsid w:val="00637C26"/>
    <w:rsid w:val="00640753"/>
    <w:rsid w:val="00642450"/>
    <w:rsid w:val="006447C1"/>
    <w:rsid w:val="00647C80"/>
    <w:rsid w:val="006561C7"/>
    <w:rsid w:val="00657335"/>
    <w:rsid w:val="00657B13"/>
    <w:rsid w:val="00660147"/>
    <w:rsid w:val="0066204E"/>
    <w:rsid w:val="00662F59"/>
    <w:rsid w:val="0066639C"/>
    <w:rsid w:val="0066701A"/>
    <w:rsid w:val="00667A9F"/>
    <w:rsid w:val="00667B70"/>
    <w:rsid w:val="00676552"/>
    <w:rsid w:val="00676707"/>
    <w:rsid w:val="00681249"/>
    <w:rsid w:val="00681EE9"/>
    <w:rsid w:val="0069198C"/>
    <w:rsid w:val="00692C80"/>
    <w:rsid w:val="00693C01"/>
    <w:rsid w:val="00693CC5"/>
    <w:rsid w:val="006A375B"/>
    <w:rsid w:val="006B10C2"/>
    <w:rsid w:val="006B5696"/>
    <w:rsid w:val="006B7C9B"/>
    <w:rsid w:val="006C5ED1"/>
    <w:rsid w:val="006D200F"/>
    <w:rsid w:val="006D378E"/>
    <w:rsid w:val="006D3864"/>
    <w:rsid w:val="006D3FAD"/>
    <w:rsid w:val="006E435E"/>
    <w:rsid w:val="006F267D"/>
    <w:rsid w:val="006F71B3"/>
    <w:rsid w:val="00705905"/>
    <w:rsid w:val="0070756D"/>
    <w:rsid w:val="007140BD"/>
    <w:rsid w:val="007169E3"/>
    <w:rsid w:val="007207F5"/>
    <w:rsid w:val="00721A72"/>
    <w:rsid w:val="00722614"/>
    <w:rsid w:val="00726380"/>
    <w:rsid w:val="007335E2"/>
    <w:rsid w:val="00747410"/>
    <w:rsid w:val="007476F4"/>
    <w:rsid w:val="00753828"/>
    <w:rsid w:val="00755F7E"/>
    <w:rsid w:val="00757764"/>
    <w:rsid w:val="00760C79"/>
    <w:rsid w:val="007716CC"/>
    <w:rsid w:val="007734F8"/>
    <w:rsid w:val="007753FA"/>
    <w:rsid w:val="00775965"/>
    <w:rsid w:val="00775C71"/>
    <w:rsid w:val="00775EF2"/>
    <w:rsid w:val="00776C14"/>
    <w:rsid w:val="00777F12"/>
    <w:rsid w:val="0078626F"/>
    <w:rsid w:val="00786931"/>
    <w:rsid w:val="00791570"/>
    <w:rsid w:val="007953C1"/>
    <w:rsid w:val="00795BA7"/>
    <w:rsid w:val="00796EDF"/>
    <w:rsid w:val="007A05F2"/>
    <w:rsid w:val="007B30DC"/>
    <w:rsid w:val="007B563B"/>
    <w:rsid w:val="007C2AD2"/>
    <w:rsid w:val="007C3760"/>
    <w:rsid w:val="007C51C8"/>
    <w:rsid w:val="007C7E72"/>
    <w:rsid w:val="007D034D"/>
    <w:rsid w:val="007D0C56"/>
    <w:rsid w:val="007D30EC"/>
    <w:rsid w:val="007E06C3"/>
    <w:rsid w:val="007E2CF6"/>
    <w:rsid w:val="007E4910"/>
    <w:rsid w:val="007E65AF"/>
    <w:rsid w:val="007F0C33"/>
    <w:rsid w:val="007F2653"/>
    <w:rsid w:val="007F2E48"/>
    <w:rsid w:val="007F6374"/>
    <w:rsid w:val="007F7772"/>
    <w:rsid w:val="007F7CC3"/>
    <w:rsid w:val="008006C6"/>
    <w:rsid w:val="00803013"/>
    <w:rsid w:val="00803853"/>
    <w:rsid w:val="00804D19"/>
    <w:rsid w:val="008051B9"/>
    <w:rsid w:val="0081077D"/>
    <w:rsid w:val="008125CB"/>
    <w:rsid w:val="0081343E"/>
    <w:rsid w:val="00820953"/>
    <w:rsid w:val="008235C2"/>
    <w:rsid w:val="008248E2"/>
    <w:rsid w:val="00827BDF"/>
    <w:rsid w:val="00832B09"/>
    <w:rsid w:val="0083304E"/>
    <w:rsid w:val="008448A2"/>
    <w:rsid w:val="00845258"/>
    <w:rsid w:val="00846562"/>
    <w:rsid w:val="00847195"/>
    <w:rsid w:val="00847432"/>
    <w:rsid w:val="00847527"/>
    <w:rsid w:val="0084786B"/>
    <w:rsid w:val="00857934"/>
    <w:rsid w:val="00861E88"/>
    <w:rsid w:val="00865D4E"/>
    <w:rsid w:val="0086741D"/>
    <w:rsid w:val="00871272"/>
    <w:rsid w:val="00871B5D"/>
    <w:rsid w:val="008737BB"/>
    <w:rsid w:val="0087553A"/>
    <w:rsid w:val="00880652"/>
    <w:rsid w:val="0088122F"/>
    <w:rsid w:val="008818C8"/>
    <w:rsid w:val="00883E6F"/>
    <w:rsid w:val="00887886"/>
    <w:rsid w:val="0089521F"/>
    <w:rsid w:val="0089705A"/>
    <w:rsid w:val="00897569"/>
    <w:rsid w:val="008A14BE"/>
    <w:rsid w:val="008A2429"/>
    <w:rsid w:val="008B599D"/>
    <w:rsid w:val="008C208B"/>
    <w:rsid w:val="008C2769"/>
    <w:rsid w:val="008C2C04"/>
    <w:rsid w:val="008C7016"/>
    <w:rsid w:val="008D3AEF"/>
    <w:rsid w:val="008D42E6"/>
    <w:rsid w:val="008E0FCB"/>
    <w:rsid w:val="008E10C3"/>
    <w:rsid w:val="008E2F04"/>
    <w:rsid w:val="008E47B1"/>
    <w:rsid w:val="008E5A64"/>
    <w:rsid w:val="008E5E5C"/>
    <w:rsid w:val="008F0474"/>
    <w:rsid w:val="008F1A17"/>
    <w:rsid w:val="008F211C"/>
    <w:rsid w:val="008F3721"/>
    <w:rsid w:val="008F3F14"/>
    <w:rsid w:val="008F52C8"/>
    <w:rsid w:val="008F5473"/>
    <w:rsid w:val="008F6EB6"/>
    <w:rsid w:val="00902480"/>
    <w:rsid w:val="00902D97"/>
    <w:rsid w:val="00903F75"/>
    <w:rsid w:val="00905303"/>
    <w:rsid w:val="0091159E"/>
    <w:rsid w:val="00914CE0"/>
    <w:rsid w:val="0091616A"/>
    <w:rsid w:val="00917190"/>
    <w:rsid w:val="00917A2A"/>
    <w:rsid w:val="00917F74"/>
    <w:rsid w:val="00924D35"/>
    <w:rsid w:val="009261D2"/>
    <w:rsid w:val="00927579"/>
    <w:rsid w:val="00932DA3"/>
    <w:rsid w:val="00935A7D"/>
    <w:rsid w:val="00935BD3"/>
    <w:rsid w:val="009361D9"/>
    <w:rsid w:val="00943FD6"/>
    <w:rsid w:val="00947EC3"/>
    <w:rsid w:val="00953199"/>
    <w:rsid w:val="00953A4F"/>
    <w:rsid w:val="00957093"/>
    <w:rsid w:val="00963C0E"/>
    <w:rsid w:val="00965CAB"/>
    <w:rsid w:val="00970E26"/>
    <w:rsid w:val="00976A3C"/>
    <w:rsid w:val="00976C10"/>
    <w:rsid w:val="00983017"/>
    <w:rsid w:val="009836A4"/>
    <w:rsid w:val="00984997"/>
    <w:rsid w:val="00987A1A"/>
    <w:rsid w:val="00993455"/>
    <w:rsid w:val="00994D67"/>
    <w:rsid w:val="00995E00"/>
    <w:rsid w:val="009A09F5"/>
    <w:rsid w:val="009A54F9"/>
    <w:rsid w:val="009B22D7"/>
    <w:rsid w:val="009C5623"/>
    <w:rsid w:val="009D33C5"/>
    <w:rsid w:val="009D4074"/>
    <w:rsid w:val="009E0BAE"/>
    <w:rsid w:val="009E0F3A"/>
    <w:rsid w:val="009E1C90"/>
    <w:rsid w:val="009E369F"/>
    <w:rsid w:val="009E504C"/>
    <w:rsid w:val="009E5AB9"/>
    <w:rsid w:val="009E7437"/>
    <w:rsid w:val="009F2CEC"/>
    <w:rsid w:val="009F3254"/>
    <w:rsid w:val="009F4058"/>
    <w:rsid w:val="009F5958"/>
    <w:rsid w:val="009F6265"/>
    <w:rsid w:val="009F70ED"/>
    <w:rsid w:val="009F7F45"/>
    <w:rsid w:val="00A03B6F"/>
    <w:rsid w:val="00A053CE"/>
    <w:rsid w:val="00A07EC8"/>
    <w:rsid w:val="00A13B78"/>
    <w:rsid w:val="00A1490E"/>
    <w:rsid w:val="00A15333"/>
    <w:rsid w:val="00A15B05"/>
    <w:rsid w:val="00A15E19"/>
    <w:rsid w:val="00A1615F"/>
    <w:rsid w:val="00A17681"/>
    <w:rsid w:val="00A207F8"/>
    <w:rsid w:val="00A23C69"/>
    <w:rsid w:val="00A32297"/>
    <w:rsid w:val="00A32B73"/>
    <w:rsid w:val="00A32FE8"/>
    <w:rsid w:val="00A332FB"/>
    <w:rsid w:val="00A42234"/>
    <w:rsid w:val="00A44130"/>
    <w:rsid w:val="00A44B2E"/>
    <w:rsid w:val="00A466C6"/>
    <w:rsid w:val="00A4740E"/>
    <w:rsid w:val="00A54B1A"/>
    <w:rsid w:val="00A605CB"/>
    <w:rsid w:val="00A614B1"/>
    <w:rsid w:val="00A627C8"/>
    <w:rsid w:val="00A65698"/>
    <w:rsid w:val="00A67239"/>
    <w:rsid w:val="00A708CB"/>
    <w:rsid w:val="00A7106B"/>
    <w:rsid w:val="00A71692"/>
    <w:rsid w:val="00A716BE"/>
    <w:rsid w:val="00A90E7A"/>
    <w:rsid w:val="00A96D42"/>
    <w:rsid w:val="00AA17A2"/>
    <w:rsid w:val="00AA24A5"/>
    <w:rsid w:val="00AA5501"/>
    <w:rsid w:val="00AA6808"/>
    <w:rsid w:val="00AB043F"/>
    <w:rsid w:val="00AB0B73"/>
    <w:rsid w:val="00AB55CD"/>
    <w:rsid w:val="00AB7280"/>
    <w:rsid w:val="00AC024D"/>
    <w:rsid w:val="00AC2A92"/>
    <w:rsid w:val="00AC335B"/>
    <w:rsid w:val="00AC4C47"/>
    <w:rsid w:val="00AD1153"/>
    <w:rsid w:val="00AD36D8"/>
    <w:rsid w:val="00AE0921"/>
    <w:rsid w:val="00AE3053"/>
    <w:rsid w:val="00AF2E7B"/>
    <w:rsid w:val="00AF3771"/>
    <w:rsid w:val="00B022DD"/>
    <w:rsid w:val="00B04AC1"/>
    <w:rsid w:val="00B05081"/>
    <w:rsid w:val="00B06F36"/>
    <w:rsid w:val="00B107F8"/>
    <w:rsid w:val="00B12A16"/>
    <w:rsid w:val="00B13AE2"/>
    <w:rsid w:val="00B213FC"/>
    <w:rsid w:val="00B21D2A"/>
    <w:rsid w:val="00B231A6"/>
    <w:rsid w:val="00B30E8B"/>
    <w:rsid w:val="00B41D1B"/>
    <w:rsid w:val="00B43E6C"/>
    <w:rsid w:val="00B50E63"/>
    <w:rsid w:val="00B51765"/>
    <w:rsid w:val="00B51DCA"/>
    <w:rsid w:val="00B53326"/>
    <w:rsid w:val="00B55728"/>
    <w:rsid w:val="00B62139"/>
    <w:rsid w:val="00B633D3"/>
    <w:rsid w:val="00B7073B"/>
    <w:rsid w:val="00B72770"/>
    <w:rsid w:val="00B75BA7"/>
    <w:rsid w:val="00B814DE"/>
    <w:rsid w:val="00B92EED"/>
    <w:rsid w:val="00B93BDB"/>
    <w:rsid w:val="00BA0D71"/>
    <w:rsid w:val="00BA0F88"/>
    <w:rsid w:val="00BA3028"/>
    <w:rsid w:val="00BA668B"/>
    <w:rsid w:val="00BB431D"/>
    <w:rsid w:val="00BC485B"/>
    <w:rsid w:val="00BC5746"/>
    <w:rsid w:val="00BC6745"/>
    <w:rsid w:val="00BD656F"/>
    <w:rsid w:val="00BE1DEF"/>
    <w:rsid w:val="00BE59AE"/>
    <w:rsid w:val="00C078D6"/>
    <w:rsid w:val="00C12FBF"/>
    <w:rsid w:val="00C15D8A"/>
    <w:rsid w:val="00C15E26"/>
    <w:rsid w:val="00C171D0"/>
    <w:rsid w:val="00C239E0"/>
    <w:rsid w:val="00C26F10"/>
    <w:rsid w:val="00C355E9"/>
    <w:rsid w:val="00C41FB4"/>
    <w:rsid w:val="00C42324"/>
    <w:rsid w:val="00C43422"/>
    <w:rsid w:val="00C513CC"/>
    <w:rsid w:val="00C51B2F"/>
    <w:rsid w:val="00C51ECF"/>
    <w:rsid w:val="00C55EAF"/>
    <w:rsid w:val="00C575F3"/>
    <w:rsid w:val="00C63522"/>
    <w:rsid w:val="00C65C04"/>
    <w:rsid w:val="00C702E7"/>
    <w:rsid w:val="00C7153C"/>
    <w:rsid w:val="00C775AA"/>
    <w:rsid w:val="00C80450"/>
    <w:rsid w:val="00C804DF"/>
    <w:rsid w:val="00C80B7D"/>
    <w:rsid w:val="00C80CB2"/>
    <w:rsid w:val="00C8340F"/>
    <w:rsid w:val="00C90B30"/>
    <w:rsid w:val="00C9399F"/>
    <w:rsid w:val="00C94D35"/>
    <w:rsid w:val="00C96F79"/>
    <w:rsid w:val="00C975F2"/>
    <w:rsid w:val="00CA1355"/>
    <w:rsid w:val="00CA21A4"/>
    <w:rsid w:val="00CA236B"/>
    <w:rsid w:val="00CA50C6"/>
    <w:rsid w:val="00CA64F7"/>
    <w:rsid w:val="00CA6646"/>
    <w:rsid w:val="00CA7FE2"/>
    <w:rsid w:val="00CB3C1E"/>
    <w:rsid w:val="00CB4F13"/>
    <w:rsid w:val="00CB7A01"/>
    <w:rsid w:val="00CC2EB3"/>
    <w:rsid w:val="00CC7C81"/>
    <w:rsid w:val="00CD3683"/>
    <w:rsid w:val="00CD41BE"/>
    <w:rsid w:val="00CD4977"/>
    <w:rsid w:val="00CE2B8A"/>
    <w:rsid w:val="00CE4C80"/>
    <w:rsid w:val="00CE511B"/>
    <w:rsid w:val="00CF1703"/>
    <w:rsid w:val="00CF1E59"/>
    <w:rsid w:val="00CF3E30"/>
    <w:rsid w:val="00CF6C59"/>
    <w:rsid w:val="00CF7B14"/>
    <w:rsid w:val="00D008CB"/>
    <w:rsid w:val="00D037E1"/>
    <w:rsid w:val="00D10CD0"/>
    <w:rsid w:val="00D1215F"/>
    <w:rsid w:val="00D131D8"/>
    <w:rsid w:val="00D20FAA"/>
    <w:rsid w:val="00D30AFB"/>
    <w:rsid w:val="00D31CB8"/>
    <w:rsid w:val="00D33B35"/>
    <w:rsid w:val="00D37A95"/>
    <w:rsid w:val="00D46160"/>
    <w:rsid w:val="00D50FFB"/>
    <w:rsid w:val="00D533A0"/>
    <w:rsid w:val="00D57902"/>
    <w:rsid w:val="00D606AD"/>
    <w:rsid w:val="00D66221"/>
    <w:rsid w:val="00D73275"/>
    <w:rsid w:val="00D74DD8"/>
    <w:rsid w:val="00D758AE"/>
    <w:rsid w:val="00D773BA"/>
    <w:rsid w:val="00D778EF"/>
    <w:rsid w:val="00D80F43"/>
    <w:rsid w:val="00D810ED"/>
    <w:rsid w:val="00D87536"/>
    <w:rsid w:val="00D90661"/>
    <w:rsid w:val="00D90875"/>
    <w:rsid w:val="00D90A09"/>
    <w:rsid w:val="00D9399C"/>
    <w:rsid w:val="00DA3043"/>
    <w:rsid w:val="00DA5D56"/>
    <w:rsid w:val="00DB1AA8"/>
    <w:rsid w:val="00DB2831"/>
    <w:rsid w:val="00DB74C5"/>
    <w:rsid w:val="00DC1DA7"/>
    <w:rsid w:val="00DC55E6"/>
    <w:rsid w:val="00DC5D5B"/>
    <w:rsid w:val="00DC74F1"/>
    <w:rsid w:val="00DD3308"/>
    <w:rsid w:val="00DD48F4"/>
    <w:rsid w:val="00DD5BE2"/>
    <w:rsid w:val="00DE3A45"/>
    <w:rsid w:val="00DE4133"/>
    <w:rsid w:val="00DE65BC"/>
    <w:rsid w:val="00DF22E1"/>
    <w:rsid w:val="00DF4035"/>
    <w:rsid w:val="00DF4B47"/>
    <w:rsid w:val="00E10C64"/>
    <w:rsid w:val="00E121F2"/>
    <w:rsid w:val="00E15081"/>
    <w:rsid w:val="00E169CA"/>
    <w:rsid w:val="00E2046E"/>
    <w:rsid w:val="00E21B46"/>
    <w:rsid w:val="00E21E79"/>
    <w:rsid w:val="00E23A66"/>
    <w:rsid w:val="00E23E9C"/>
    <w:rsid w:val="00E34D6F"/>
    <w:rsid w:val="00E36FBB"/>
    <w:rsid w:val="00E54060"/>
    <w:rsid w:val="00E54BF4"/>
    <w:rsid w:val="00E573AB"/>
    <w:rsid w:val="00E600EC"/>
    <w:rsid w:val="00E62A50"/>
    <w:rsid w:val="00E64AB5"/>
    <w:rsid w:val="00E66298"/>
    <w:rsid w:val="00E72A55"/>
    <w:rsid w:val="00E73B22"/>
    <w:rsid w:val="00E8316E"/>
    <w:rsid w:val="00E8476C"/>
    <w:rsid w:val="00E8690E"/>
    <w:rsid w:val="00E95B1B"/>
    <w:rsid w:val="00EA50D1"/>
    <w:rsid w:val="00EA7E3D"/>
    <w:rsid w:val="00EB57DC"/>
    <w:rsid w:val="00EC17AC"/>
    <w:rsid w:val="00EC1967"/>
    <w:rsid w:val="00EC2B1B"/>
    <w:rsid w:val="00ED10B3"/>
    <w:rsid w:val="00ED455E"/>
    <w:rsid w:val="00EE31C9"/>
    <w:rsid w:val="00EE3C77"/>
    <w:rsid w:val="00EE432B"/>
    <w:rsid w:val="00EF0F48"/>
    <w:rsid w:val="00EF13C4"/>
    <w:rsid w:val="00EF3918"/>
    <w:rsid w:val="00EF5C0F"/>
    <w:rsid w:val="00EF794A"/>
    <w:rsid w:val="00F00F62"/>
    <w:rsid w:val="00F01D7F"/>
    <w:rsid w:val="00F06C03"/>
    <w:rsid w:val="00F10EB1"/>
    <w:rsid w:val="00F14775"/>
    <w:rsid w:val="00F169C2"/>
    <w:rsid w:val="00F20C0D"/>
    <w:rsid w:val="00F239AF"/>
    <w:rsid w:val="00F23C93"/>
    <w:rsid w:val="00F3238F"/>
    <w:rsid w:val="00F418B7"/>
    <w:rsid w:val="00F452C0"/>
    <w:rsid w:val="00F5329A"/>
    <w:rsid w:val="00F53B84"/>
    <w:rsid w:val="00F540C7"/>
    <w:rsid w:val="00F5448F"/>
    <w:rsid w:val="00F577EC"/>
    <w:rsid w:val="00F62B94"/>
    <w:rsid w:val="00F65B59"/>
    <w:rsid w:val="00F73A55"/>
    <w:rsid w:val="00F807BE"/>
    <w:rsid w:val="00F82840"/>
    <w:rsid w:val="00F87A44"/>
    <w:rsid w:val="00F925CF"/>
    <w:rsid w:val="00F93DD2"/>
    <w:rsid w:val="00F951D5"/>
    <w:rsid w:val="00F96099"/>
    <w:rsid w:val="00FA20DB"/>
    <w:rsid w:val="00FA4545"/>
    <w:rsid w:val="00FA5327"/>
    <w:rsid w:val="00FA6483"/>
    <w:rsid w:val="00FB0A43"/>
    <w:rsid w:val="00FC1448"/>
    <w:rsid w:val="00FC4EA1"/>
    <w:rsid w:val="00FC5018"/>
    <w:rsid w:val="00FC66C3"/>
    <w:rsid w:val="00FD27D1"/>
    <w:rsid w:val="00FD4025"/>
    <w:rsid w:val="00FD4F1F"/>
    <w:rsid w:val="00FD7FBC"/>
    <w:rsid w:val="00FE1D27"/>
    <w:rsid w:val="00FE1E56"/>
    <w:rsid w:val="00FE4E3D"/>
    <w:rsid w:val="00FF15E1"/>
    <w:rsid w:val="00FF6C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679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3CE"/>
    <w:pPr>
      <w:spacing w:after="0" w:line="240" w:lineRule="auto"/>
    </w:pPr>
    <w:rPr>
      <w:rFonts w:ascii="Calibri" w:hAnsi="Calibri" w:cs="Calibri"/>
    </w:rPr>
  </w:style>
  <w:style w:type="paragraph" w:styleId="Heading1">
    <w:name w:val="heading 1"/>
    <w:basedOn w:val="Normal"/>
    <w:next w:val="Normal"/>
    <w:link w:val="Heading1Char"/>
    <w:uiPriority w:val="9"/>
    <w:qFormat/>
    <w:rsid w:val="00A053C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053C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053C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3C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053C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053CE"/>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A053CE"/>
    <w:rPr>
      <w:color w:val="0000FF"/>
      <w:u w:val="single"/>
    </w:rPr>
  </w:style>
  <w:style w:type="paragraph" w:styleId="ListParagraph">
    <w:name w:val="List Paragraph"/>
    <w:basedOn w:val="Normal"/>
    <w:uiPriority w:val="34"/>
    <w:qFormat/>
    <w:rsid w:val="00A053CE"/>
    <w:pPr>
      <w:spacing w:after="200" w:line="276" w:lineRule="auto"/>
      <w:ind w:left="720"/>
      <w:contextualSpacing/>
    </w:pPr>
  </w:style>
  <w:style w:type="character" w:styleId="HTMLCite">
    <w:name w:val="HTML Cite"/>
    <w:basedOn w:val="DefaultParagraphFont"/>
    <w:uiPriority w:val="99"/>
    <w:semiHidden/>
    <w:unhideWhenUsed/>
    <w:rsid w:val="00A053CE"/>
    <w:rPr>
      <w:i/>
      <w:iCs/>
    </w:rPr>
  </w:style>
  <w:style w:type="character" w:styleId="CommentReference">
    <w:name w:val="annotation reference"/>
    <w:basedOn w:val="DefaultParagraphFont"/>
    <w:uiPriority w:val="99"/>
    <w:semiHidden/>
    <w:unhideWhenUsed/>
    <w:rsid w:val="00A053CE"/>
    <w:rPr>
      <w:sz w:val="16"/>
      <w:szCs w:val="16"/>
    </w:rPr>
  </w:style>
  <w:style w:type="paragraph" w:styleId="CommentText">
    <w:name w:val="annotation text"/>
    <w:basedOn w:val="Normal"/>
    <w:link w:val="CommentTextChar"/>
    <w:uiPriority w:val="99"/>
    <w:unhideWhenUsed/>
    <w:rsid w:val="00A053CE"/>
    <w:rPr>
      <w:sz w:val="20"/>
      <w:szCs w:val="20"/>
    </w:rPr>
  </w:style>
  <w:style w:type="character" w:customStyle="1" w:styleId="CommentTextChar">
    <w:name w:val="Comment Text Char"/>
    <w:basedOn w:val="DefaultParagraphFont"/>
    <w:link w:val="CommentText"/>
    <w:uiPriority w:val="99"/>
    <w:rsid w:val="00A053C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053CE"/>
    <w:rPr>
      <w:b/>
      <w:bCs/>
    </w:rPr>
  </w:style>
  <w:style w:type="character" w:customStyle="1" w:styleId="CommentSubjectChar">
    <w:name w:val="Comment Subject Char"/>
    <w:basedOn w:val="CommentTextChar"/>
    <w:link w:val="CommentSubject"/>
    <w:uiPriority w:val="99"/>
    <w:semiHidden/>
    <w:rsid w:val="00A053CE"/>
    <w:rPr>
      <w:rFonts w:ascii="Calibri" w:hAnsi="Calibri" w:cs="Calibri"/>
      <w:b/>
      <w:bCs/>
      <w:sz w:val="20"/>
      <w:szCs w:val="20"/>
    </w:rPr>
  </w:style>
  <w:style w:type="paragraph" w:styleId="BalloonText">
    <w:name w:val="Balloon Text"/>
    <w:basedOn w:val="Normal"/>
    <w:link w:val="BalloonTextChar"/>
    <w:uiPriority w:val="99"/>
    <w:semiHidden/>
    <w:unhideWhenUsed/>
    <w:rsid w:val="00A053CE"/>
    <w:rPr>
      <w:rFonts w:ascii="Tahoma" w:hAnsi="Tahoma" w:cs="Tahoma"/>
      <w:sz w:val="16"/>
      <w:szCs w:val="16"/>
    </w:rPr>
  </w:style>
  <w:style w:type="character" w:customStyle="1" w:styleId="BalloonTextChar">
    <w:name w:val="Balloon Text Char"/>
    <w:basedOn w:val="DefaultParagraphFont"/>
    <w:link w:val="BalloonText"/>
    <w:uiPriority w:val="99"/>
    <w:semiHidden/>
    <w:rsid w:val="00A053CE"/>
    <w:rPr>
      <w:rFonts w:ascii="Tahoma" w:hAnsi="Tahoma" w:cs="Tahoma"/>
      <w:sz w:val="16"/>
      <w:szCs w:val="16"/>
    </w:rPr>
  </w:style>
  <w:style w:type="character" w:customStyle="1" w:styleId="HeaderChar">
    <w:name w:val="Header Char"/>
    <w:basedOn w:val="DefaultParagraphFont"/>
    <w:link w:val="Header"/>
    <w:uiPriority w:val="99"/>
    <w:rsid w:val="00A053CE"/>
    <w:rPr>
      <w:rFonts w:ascii="Calibri" w:hAnsi="Calibri" w:cs="Calibri"/>
    </w:rPr>
  </w:style>
  <w:style w:type="paragraph" w:styleId="Header">
    <w:name w:val="header"/>
    <w:basedOn w:val="Normal"/>
    <w:link w:val="HeaderChar"/>
    <w:uiPriority w:val="99"/>
    <w:unhideWhenUsed/>
    <w:rsid w:val="00A053CE"/>
    <w:pPr>
      <w:tabs>
        <w:tab w:val="center" w:pos="4513"/>
        <w:tab w:val="right" w:pos="9026"/>
      </w:tabs>
    </w:pPr>
  </w:style>
  <w:style w:type="character" w:customStyle="1" w:styleId="FooterChar">
    <w:name w:val="Footer Char"/>
    <w:basedOn w:val="DefaultParagraphFont"/>
    <w:link w:val="Footer"/>
    <w:uiPriority w:val="99"/>
    <w:rsid w:val="00A053CE"/>
    <w:rPr>
      <w:rFonts w:ascii="Calibri" w:hAnsi="Calibri" w:cs="Calibri"/>
    </w:rPr>
  </w:style>
  <w:style w:type="paragraph" w:styleId="Footer">
    <w:name w:val="footer"/>
    <w:basedOn w:val="Normal"/>
    <w:link w:val="FooterChar"/>
    <w:uiPriority w:val="99"/>
    <w:unhideWhenUsed/>
    <w:rsid w:val="00A053CE"/>
    <w:pPr>
      <w:tabs>
        <w:tab w:val="center" w:pos="4513"/>
        <w:tab w:val="right" w:pos="9026"/>
      </w:tabs>
    </w:pPr>
  </w:style>
  <w:style w:type="paragraph" w:styleId="NormalWeb">
    <w:name w:val="Normal (Web)"/>
    <w:basedOn w:val="Normal"/>
    <w:uiPriority w:val="99"/>
    <w:unhideWhenUsed/>
    <w:rsid w:val="00A053CE"/>
    <w:pPr>
      <w:spacing w:before="100" w:beforeAutospacing="1" w:after="100" w:afterAutospacing="1"/>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A053CE"/>
  </w:style>
  <w:style w:type="paragraph" w:styleId="TOCHeading">
    <w:name w:val="TOC Heading"/>
    <w:basedOn w:val="Heading1"/>
    <w:next w:val="Normal"/>
    <w:uiPriority w:val="39"/>
    <w:unhideWhenUsed/>
    <w:qFormat/>
    <w:rsid w:val="00A053CE"/>
    <w:pPr>
      <w:spacing w:line="259" w:lineRule="auto"/>
      <w:outlineLvl w:val="9"/>
    </w:pPr>
    <w:rPr>
      <w:lang w:val="en-US"/>
    </w:rPr>
  </w:style>
  <w:style w:type="paragraph" w:styleId="TOC1">
    <w:name w:val="toc 1"/>
    <w:basedOn w:val="Normal"/>
    <w:next w:val="Normal"/>
    <w:autoRedefine/>
    <w:uiPriority w:val="39"/>
    <w:unhideWhenUsed/>
    <w:rsid w:val="00A053CE"/>
    <w:pPr>
      <w:spacing w:after="100"/>
    </w:pPr>
  </w:style>
  <w:style w:type="character" w:styleId="Emphasis">
    <w:name w:val="Emphasis"/>
    <w:basedOn w:val="DefaultParagraphFont"/>
    <w:uiPriority w:val="20"/>
    <w:qFormat/>
    <w:rsid w:val="00A053CE"/>
    <w:rPr>
      <w:i/>
      <w:iCs/>
    </w:rPr>
  </w:style>
  <w:style w:type="character" w:customStyle="1" w:styleId="apple-converted-space">
    <w:name w:val="apple-converted-space"/>
    <w:basedOn w:val="DefaultParagraphFont"/>
    <w:rsid w:val="0051062A"/>
  </w:style>
  <w:style w:type="character" w:customStyle="1" w:styleId="slug-pub-date">
    <w:name w:val="slug-pub-date"/>
    <w:basedOn w:val="DefaultParagraphFont"/>
    <w:rsid w:val="00AA17A2"/>
  </w:style>
  <w:style w:type="character" w:customStyle="1" w:styleId="slug-vol">
    <w:name w:val="slug-vol"/>
    <w:basedOn w:val="DefaultParagraphFont"/>
    <w:rsid w:val="00AA17A2"/>
  </w:style>
  <w:style w:type="character" w:customStyle="1" w:styleId="slug-issue">
    <w:name w:val="slug-issue"/>
    <w:basedOn w:val="DefaultParagraphFont"/>
    <w:rsid w:val="00AA17A2"/>
  </w:style>
  <w:style w:type="character" w:customStyle="1" w:styleId="slug-pages">
    <w:name w:val="slug-pages"/>
    <w:basedOn w:val="DefaultParagraphFont"/>
    <w:rsid w:val="00AA17A2"/>
  </w:style>
  <w:style w:type="table" w:styleId="TableGrid">
    <w:name w:val="Table Grid"/>
    <w:basedOn w:val="TableNormal"/>
    <w:uiPriority w:val="59"/>
    <w:rsid w:val="00EC1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82B63"/>
    <w:pPr>
      <w:spacing w:after="0" w:line="240" w:lineRule="auto"/>
    </w:pPr>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3CE"/>
    <w:pPr>
      <w:spacing w:after="0" w:line="240" w:lineRule="auto"/>
    </w:pPr>
    <w:rPr>
      <w:rFonts w:ascii="Calibri" w:hAnsi="Calibri" w:cs="Calibri"/>
    </w:rPr>
  </w:style>
  <w:style w:type="paragraph" w:styleId="Heading1">
    <w:name w:val="heading 1"/>
    <w:basedOn w:val="Normal"/>
    <w:next w:val="Normal"/>
    <w:link w:val="Heading1Char"/>
    <w:uiPriority w:val="9"/>
    <w:qFormat/>
    <w:rsid w:val="00A053C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053C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053C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3C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053C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053CE"/>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A053CE"/>
    <w:rPr>
      <w:color w:val="0000FF"/>
      <w:u w:val="single"/>
    </w:rPr>
  </w:style>
  <w:style w:type="paragraph" w:styleId="ListParagraph">
    <w:name w:val="List Paragraph"/>
    <w:basedOn w:val="Normal"/>
    <w:uiPriority w:val="34"/>
    <w:qFormat/>
    <w:rsid w:val="00A053CE"/>
    <w:pPr>
      <w:spacing w:after="200" w:line="276" w:lineRule="auto"/>
      <w:ind w:left="720"/>
      <w:contextualSpacing/>
    </w:pPr>
  </w:style>
  <w:style w:type="character" w:styleId="HTMLCite">
    <w:name w:val="HTML Cite"/>
    <w:basedOn w:val="DefaultParagraphFont"/>
    <w:uiPriority w:val="99"/>
    <w:semiHidden/>
    <w:unhideWhenUsed/>
    <w:rsid w:val="00A053CE"/>
    <w:rPr>
      <w:i/>
      <w:iCs/>
    </w:rPr>
  </w:style>
  <w:style w:type="character" w:styleId="CommentReference">
    <w:name w:val="annotation reference"/>
    <w:basedOn w:val="DefaultParagraphFont"/>
    <w:uiPriority w:val="99"/>
    <w:semiHidden/>
    <w:unhideWhenUsed/>
    <w:rsid w:val="00A053CE"/>
    <w:rPr>
      <w:sz w:val="16"/>
      <w:szCs w:val="16"/>
    </w:rPr>
  </w:style>
  <w:style w:type="paragraph" w:styleId="CommentText">
    <w:name w:val="annotation text"/>
    <w:basedOn w:val="Normal"/>
    <w:link w:val="CommentTextChar"/>
    <w:uiPriority w:val="99"/>
    <w:unhideWhenUsed/>
    <w:rsid w:val="00A053CE"/>
    <w:rPr>
      <w:sz w:val="20"/>
      <w:szCs w:val="20"/>
    </w:rPr>
  </w:style>
  <w:style w:type="character" w:customStyle="1" w:styleId="CommentTextChar">
    <w:name w:val="Comment Text Char"/>
    <w:basedOn w:val="DefaultParagraphFont"/>
    <w:link w:val="CommentText"/>
    <w:uiPriority w:val="99"/>
    <w:rsid w:val="00A053C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053CE"/>
    <w:rPr>
      <w:b/>
      <w:bCs/>
    </w:rPr>
  </w:style>
  <w:style w:type="character" w:customStyle="1" w:styleId="CommentSubjectChar">
    <w:name w:val="Comment Subject Char"/>
    <w:basedOn w:val="CommentTextChar"/>
    <w:link w:val="CommentSubject"/>
    <w:uiPriority w:val="99"/>
    <w:semiHidden/>
    <w:rsid w:val="00A053CE"/>
    <w:rPr>
      <w:rFonts w:ascii="Calibri" w:hAnsi="Calibri" w:cs="Calibri"/>
      <w:b/>
      <w:bCs/>
      <w:sz w:val="20"/>
      <w:szCs w:val="20"/>
    </w:rPr>
  </w:style>
  <w:style w:type="paragraph" w:styleId="BalloonText">
    <w:name w:val="Balloon Text"/>
    <w:basedOn w:val="Normal"/>
    <w:link w:val="BalloonTextChar"/>
    <w:uiPriority w:val="99"/>
    <w:semiHidden/>
    <w:unhideWhenUsed/>
    <w:rsid w:val="00A053CE"/>
    <w:rPr>
      <w:rFonts w:ascii="Tahoma" w:hAnsi="Tahoma" w:cs="Tahoma"/>
      <w:sz w:val="16"/>
      <w:szCs w:val="16"/>
    </w:rPr>
  </w:style>
  <w:style w:type="character" w:customStyle="1" w:styleId="BalloonTextChar">
    <w:name w:val="Balloon Text Char"/>
    <w:basedOn w:val="DefaultParagraphFont"/>
    <w:link w:val="BalloonText"/>
    <w:uiPriority w:val="99"/>
    <w:semiHidden/>
    <w:rsid w:val="00A053CE"/>
    <w:rPr>
      <w:rFonts w:ascii="Tahoma" w:hAnsi="Tahoma" w:cs="Tahoma"/>
      <w:sz w:val="16"/>
      <w:szCs w:val="16"/>
    </w:rPr>
  </w:style>
  <w:style w:type="character" w:customStyle="1" w:styleId="HeaderChar">
    <w:name w:val="Header Char"/>
    <w:basedOn w:val="DefaultParagraphFont"/>
    <w:link w:val="Header"/>
    <w:uiPriority w:val="99"/>
    <w:rsid w:val="00A053CE"/>
    <w:rPr>
      <w:rFonts w:ascii="Calibri" w:hAnsi="Calibri" w:cs="Calibri"/>
    </w:rPr>
  </w:style>
  <w:style w:type="paragraph" w:styleId="Header">
    <w:name w:val="header"/>
    <w:basedOn w:val="Normal"/>
    <w:link w:val="HeaderChar"/>
    <w:uiPriority w:val="99"/>
    <w:unhideWhenUsed/>
    <w:rsid w:val="00A053CE"/>
    <w:pPr>
      <w:tabs>
        <w:tab w:val="center" w:pos="4513"/>
        <w:tab w:val="right" w:pos="9026"/>
      </w:tabs>
    </w:pPr>
  </w:style>
  <w:style w:type="character" w:customStyle="1" w:styleId="FooterChar">
    <w:name w:val="Footer Char"/>
    <w:basedOn w:val="DefaultParagraphFont"/>
    <w:link w:val="Footer"/>
    <w:uiPriority w:val="99"/>
    <w:rsid w:val="00A053CE"/>
    <w:rPr>
      <w:rFonts w:ascii="Calibri" w:hAnsi="Calibri" w:cs="Calibri"/>
    </w:rPr>
  </w:style>
  <w:style w:type="paragraph" w:styleId="Footer">
    <w:name w:val="footer"/>
    <w:basedOn w:val="Normal"/>
    <w:link w:val="FooterChar"/>
    <w:uiPriority w:val="99"/>
    <w:unhideWhenUsed/>
    <w:rsid w:val="00A053CE"/>
    <w:pPr>
      <w:tabs>
        <w:tab w:val="center" w:pos="4513"/>
        <w:tab w:val="right" w:pos="9026"/>
      </w:tabs>
    </w:pPr>
  </w:style>
  <w:style w:type="paragraph" w:styleId="NormalWeb">
    <w:name w:val="Normal (Web)"/>
    <w:basedOn w:val="Normal"/>
    <w:uiPriority w:val="99"/>
    <w:unhideWhenUsed/>
    <w:rsid w:val="00A053CE"/>
    <w:pPr>
      <w:spacing w:before="100" w:beforeAutospacing="1" w:after="100" w:afterAutospacing="1"/>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A053CE"/>
  </w:style>
  <w:style w:type="paragraph" w:styleId="TOCHeading">
    <w:name w:val="TOC Heading"/>
    <w:basedOn w:val="Heading1"/>
    <w:next w:val="Normal"/>
    <w:uiPriority w:val="39"/>
    <w:unhideWhenUsed/>
    <w:qFormat/>
    <w:rsid w:val="00A053CE"/>
    <w:pPr>
      <w:spacing w:line="259" w:lineRule="auto"/>
      <w:outlineLvl w:val="9"/>
    </w:pPr>
    <w:rPr>
      <w:lang w:val="en-US"/>
    </w:rPr>
  </w:style>
  <w:style w:type="paragraph" w:styleId="TOC1">
    <w:name w:val="toc 1"/>
    <w:basedOn w:val="Normal"/>
    <w:next w:val="Normal"/>
    <w:autoRedefine/>
    <w:uiPriority w:val="39"/>
    <w:unhideWhenUsed/>
    <w:rsid w:val="00A053CE"/>
    <w:pPr>
      <w:spacing w:after="100"/>
    </w:pPr>
  </w:style>
  <w:style w:type="character" w:styleId="Emphasis">
    <w:name w:val="Emphasis"/>
    <w:basedOn w:val="DefaultParagraphFont"/>
    <w:uiPriority w:val="20"/>
    <w:qFormat/>
    <w:rsid w:val="00A053CE"/>
    <w:rPr>
      <w:i/>
      <w:iCs/>
    </w:rPr>
  </w:style>
  <w:style w:type="character" w:customStyle="1" w:styleId="apple-converted-space">
    <w:name w:val="apple-converted-space"/>
    <w:basedOn w:val="DefaultParagraphFont"/>
    <w:rsid w:val="0051062A"/>
  </w:style>
  <w:style w:type="character" w:customStyle="1" w:styleId="slug-pub-date">
    <w:name w:val="slug-pub-date"/>
    <w:basedOn w:val="DefaultParagraphFont"/>
    <w:rsid w:val="00AA17A2"/>
  </w:style>
  <w:style w:type="character" w:customStyle="1" w:styleId="slug-vol">
    <w:name w:val="slug-vol"/>
    <w:basedOn w:val="DefaultParagraphFont"/>
    <w:rsid w:val="00AA17A2"/>
  </w:style>
  <w:style w:type="character" w:customStyle="1" w:styleId="slug-issue">
    <w:name w:val="slug-issue"/>
    <w:basedOn w:val="DefaultParagraphFont"/>
    <w:rsid w:val="00AA17A2"/>
  </w:style>
  <w:style w:type="character" w:customStyle="1" w:styleId="slug-pages">
    <w:name w:val="slug-pages"/>
    <w:basedOn w:val="DefaultParagraphFont"/>
    <w:rsid w:val="00AA17A2"/>
  </w:style>
  <w:style w:type="table" w:styleId="TableGrid">
    <w:name w:val="Table Grid"/>
    <w:basedOn w:val="TableNormal"/>
    <w:uiPriority w:val="59"/>
    <w:rsid w:val="00EC1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82B63"/>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431575">
      <w:bodyDiv w:val="1"/>
      <w:marLeft w:val="0"/>
      <w:marRight w:val="0"/>
      <w:marTop w:val="0"/>
      <w:marBottom w:val="0"/>
      <w:divBdr>
        <w:top w:val="none" w:sz="0" w:space="0" w:color="auto"/>
        <w:left w:val="none" w:sz="0" w:space="0" w:color="auto"/>
        <w:bottom w:val="none" w:sz="0" w:space="0" w:color="auto"/>
        <w:right w:val="none" w:sz="0" w:space="0" w:color="auto"/>
      </w:divBdr>
    </w:div>
    <w:div w:id="548105736">
      <w:bodyDiv w:val="1"/>
      <w:marLeft w:val="0"/>
      <w:marRight w:val="0"/>
      <w:marTop w:val="0"/>
      <w:marBottom w:val="0"/>
      <w:divBdr>
        <w:top w:val="none" w:sz="0" w:space="0" w:color="auto"/>
        <w:left w:val="none" w:sz="0" w:space="0" w:color="auto"/>
        <w:bottom w:val="none" w:sz="0" w:space="0" w:color="auto"/>
        <w:right w:val="none" w:sz="0" w:space="0" w:color="auto"/>
      </w:divBdr>
    </w:div>
    <w:div w:id="1227568374">
      <w:bodyDiv w:val="1"/>
      <w:marLeft w:val="0"/>
      <w:marRight w:val="0"/>
      <w:marTop w:val="0"/>
      <w:marBottom w:val="0"/>
      <w:divBdr>
        <w:top w:val="none" w:sz="0" w:space="0" w:color="auto"/>
        <w:left w:val="none" w:sz="0" w:space="0" w:color="auto"/>
        <w:bottom w:val="none" w:sz="0" w:space="0" w:color="auto"/>
        <w:right w:val="none" w:sz="0" w:space="0" w:color="auto"/>
      </w:divBdr>
    </w:div>
    <w:div w:id="1267468192">
      <w:bodyDiv w:val="1"/>
      <w:marLeft w:val="0"/>
      <w:marRight w:val="0"/>
      <w:marTop w:val="0"/>
      <w:marBottom w:val="0"/>
      <w:divBdr>
        <w:top w:val="none" w:sz="0" w:space="0" w:color="auto"/>
        <w:left w:val="none" w:sz="0" w:space="0" w:color="auto"/>
        <w:bottom w:val="none" w:sz="0" w:space="0" w:color="auto"/>
        <w:right w:val="none" w:sz="0" w:space="0" w:color="auto"/>
      </w:divBdr>
    </w:div>
    <w:div w:id="1482188436">
      <w:bodyDiv w:val="1"/>
      <w:marLeft w:val="0"/>
      <w:marRight w:val="0"/>
      <w:marTop w:val="0"/>
      <w:marBottom w:val="0"/>
      <w:divBdr>
        <w:top w:val="none" w:sz="0" w:space="0" w:color="auto"/>
        <w:left w:val="none" w:sz="0" w:space="0" w:color="auto"/>
        <w:bottom w:val="none" w:sz="0" w:space="0" w:color="auto"/>
        <w:right w:val="none" w:sz="0" w:space="0" w:color="auto"/>
      </w:divBdr>
      <w:divsChild>
        <w:div w:id="1073503928">
          <w:marLeft w:val="0"/>
          <w:marRight w:val="0"/>
          <w:marTop w:val="0"/>
          <w:marBottom w:val="0"/>
          <w:divBdr>
            <w:top w:val="none" w:sz="0" w:space="0" w:color="auto"/>
            <w:left w:val="none" w:sz="0" w:space="0" w:color="auto"/>
            <w:bottom w:val="none" w:sz="0" w:space="0" w:color="auto"/>
            <w:right w:val="none" w:sz="0" w:space="0" w:color="auto"/>
          </w:divBdr>
        </w:div>
      </w:divsChild>
    </w:div>
    <w:div w:id="1539318439">
      <w:bodyDiv w:val="1"/>
      <w:marLeft w:val="0"/>
      <w:marRight w:val="0"/>
      <w:marTop w:val="0"/>
      <w:marBottom w:val="0"/>
      <w:divBdr>
        <w:top w:val="none" w:sz="0" w:space="0" w:color="auto"/>
        <w:left w:val="none" w:sz="0" w:space="0" w:color="auto"/>
        <w:bottom w:val="none" w:sz="0" w:space="0" w:color="auto"/>
        <w:right w:val="none" w:sz="0" w:space="0" w:color="auto"/>
      </w:divBdr>
      <w:divsChild>
        <w:div w:id="1331762114">
          <w:marLeft w:val="0"/>
          <w:marRight w:val="0"/>
          <w:marTop w:val="0"/>
          <w:marBottom w:val="0"/>
          <w:divBdr>
            <w:top w:val="none" w:sz="0" w:space="0" w:color="auto"/>
            <w:left w:val="none" w:sz="0" w:space="0" w:color="auto"/>
            <w:bottom w:val="none" w:sz="0" w:space="0" w:color="auto"/>
            <w:right w:val="none" w:sz="0" w:space="0" w:color="auto"/>
          </w:divBdr>
          <w:divsChild>
            <w:div w:id="367223594">
              <w:marLeft w:val="0"/>
              <w:marRight w:val="0"/>
              <w:marTop w:val="0"/>
              <w:marBottom w:val="0"/>
              <w:divBdr>
                <w:top w:val="none" w:sz="0" w:space="0" w:color="auto"/>
                <w:left w:val="none" w:sz="0" w:space="0" w:color="auto"/>
                <w:bottom w:val="none" w:sz="0" w:space="0" w:color="auto"/>
                <w:right w:val="none" w:sz="0" w:space="0" w:color="auto"/>
              </w:divBdr>
              <w:divsChild>
                <w:div w:id="1437948768">
                  <w:marLeft w:val="0"/>
                  <w:marRight w:val="0"/>
                  <w:marTop w:val="0"/>
                  <w:marBottom w:val="0"/>
                  <w:divBdr>
                    <w:top w:val="none" w:sz="0" w:space="0" w:color="auto"/>
                    <w:left w:val="none" w:sz="0" w:space="0" w:color="auto"/>
                    <w:bottom w:val="none" w:sz="0" w:space="0" w:color="auto"/>
                    <w:right w:val="none" w:sz="0" w:space="0" w:color="auto"/>
                  </w:divBdr>
                  <w:divsChild>
                    <w:div w:id="647057221">
                      <w:marLeft w:val="0"/>
                      <w:marRight w:val="0"/>
                      <w:marTop w:val="0"/>
                      <w:marBottom w:val="0"/>
                      <w:divBdr>
                        <w:top w:val="none" w:sz="0" w:space="0" w:color="auto"/>
                        <w:left w:val="none" w:sz="0" w:space="0" w:color="auto"/>
                        <w:bottom w:val="none" w:sz="0" w:space="0" w:color="auto"/>
                        <w:right w:val="none" w:sz="0" w:space="0" w:color="auto"/>
                      </w:divBdr>
                      <w:divsChild>
                        <w:div w:id="877549538">
                          <w:marLeft w:val="0"/>
                          <w:marRight w:val="0"/>
                          <w:marTop w:val="0"/>
                          <w:marBottom w:val="0"/>
                          <w:divBdr>
                            <w:top w:val="none" w:sz="0" w:space="0" w:color="auto"/>
                            <w:left w:val="none" w:sz="0" w:space="0" w:color="auto"/>
                            <w:bottom w:val="none" w:sz="0" w:space="0" w:color="auto"/>
                            <w:right w:val="none" w:sz="0" w:space="0" w:color="auto"/>
                          </w:divBdr>
                          <w:divsChild>
                            <w:div w:id="1463499695">
                              <w:marLeft w:val="0"/>
                              <w:marRight w:val="0"/>
                              <w:marTop w:val="0"/>
                              <w:marBottom w:val="0"/>
                              <w:divBdr>
                                <w:top w:val="none" w:sz="0" w:space="0" w:color="auto"/>
                                <w:left w:val="none" w:sz="0" w:space="0" w:color="auto"/>
                                <w:bottom w:val="none" w:sz="0" w:space="0" w:color="auto"/>
                                <w:right w:val="none" w:sz="0" w:space="0" w:color="auto"/>
                              </w:divBdr>
                              <w:divsChild>
                                <w:div w:id="1835992531">
                                  <w:marLeft w:val="0"/>
                                  <w:marRight w:val="0"/>
                                  <w:marTop w:val="0"/>
                                  <w:marBottom w:val="0"/>
                                  <w:divBdr>
                                    <w:top w:val="none" w:sz="0" w:space="0" w:color="auto"/>
                                    <w:left w:val="none" w:sz="0" w:space="0" w:color="auto"/>
                                    <w:bottom w:val="none" w:sz="0" w:space="0" w:color="auto"/>
                                    <w:right w:val="none" w:sz="0" w:space="0" w:color="auto"/>
                                  </w:divBdr>
                                  <w:divsChild>
                                    <w:div w:id="140781160">
                                      <w:marLeft w:val="0"/>
                                      <w:marRight w:val="0"/>
                                      <w:marTop w:val="0"/>
                                      <w:marBottom w:val="0"/>
                                      <w:divBdr>
                                        <w:top w:val="none" w:sz="0" w:space="0" w:color="auto"/>
                                        <w:left w:val="none" w:sz="0" w:space="0" w:color="auto"/>
                                        <w:bottom w:val="none" w:sz="0" w:space="0" w:color="auto"/>
                                        <w:right w:val="none" w:sz="0" w:space="0" w:color="auto"/>
                                      </w:divBdr>
                                      <w:divsChild>
                                        <w:div w:id="1011101776">
                                          <w:marLeft w:val="0"/>
                                          <w:marRight w:val="0"/>
                                          <w:marTop w:val="0"/>
                                          <w:marBottom w:val="0"/>
                                          <w:divBdr>
                                            <w:top w:val="none" w:sz="0" w:space="0" w:color="auto"/>
                                            <w:left w:val="none" w:sz="0" w:space="0" w:color="auto"/>
                                            <w:bottom w:val="none" w:sz="0" w:space="0" w:color="auto"/>
                                            <w:right w:val="none" w:sz="0" w:space="0" w:color="auto"/>
                                          </w:divBdr>
                                          <w:divsChild>
                                            <w:div w:id="327825332">
                                              <w:marLeft w:val="0"/>
                                              <w:marRight w:val="0"/>
                                              <w:marTop w:val="0"/>
                                              <w:marBottom w:val="0"/>
                                              <w:divBdr>
                                                <w:top w:val="none" w:sz="0" w:space="0" w:color="auto"/>
                                                <w:left w:val="none" w:sz="0" w:space="0" w:color="auto"/>
                                                <w:bottom w:val="none" w:sz="0" w:space="0" w:color="auto"/>
                                                <w:right w:val="none" w:sz="0" w:space="0" w:color="auto"/>
                                              </w:divBdr>
                                              <w:divsChild>
                                                <w:div w:id="1426610159">
                                                  <w:marLeft w:val="0"/>
                                                  <w:marRight w:val="0"/>
                                                  <w:marTop w:val="0"/>
                                                  <w:marBottom w:val="0"/>
                                                  <w:divBdr>
                                                    <w:top w:val="none" w:sz="0" w:space="0" w:color="auto"/>
                                                    <w:left w:val="none" w:sz="0" w:space="0" w:color="auto"/>
                                                    <w:bottom w:val="none" w:sz="0" w:space="0" w:color="auto"/>
                                                    <w:right w:val="none" w:sz="0" w:space="0" w:color="auto"/>
                                                  </w:divBdr>
                                                  <w:divsChild>
                                                    <w:div w:id="1162890411">
                                                      <w:marLeft w:val="0"/>
                                                      <w:marRight w:val="0"/>
                                                      <w:marTop w:val="0"/>
                                                      <w:marBottom w:val="0"/>
                                                      <w:divBdr>
                                                        <w:top w:val="none" w:sz="0" w:space="0" w:color="auto"/>
                                                        <w:left w:val="none" w:sz="0" w:space="0" w:color="auto"/>
                                                        <w:bottom w:val="none" w:sz="0" w:space="0" w:color="auto"/>
                                                        <w:right w:val="none" w:sz="0" w:space="0" w:color="auto"/>
                                                      </w:divBdr>
                                                      <w:divsChild>
                                                        <w:div w:id="1461724799">
                                                          <w:marLeft w:val="0"/>
                                                          <w:marRight w:val="0"/>
                                                          <w:marTop w:val="0"/>
                                                          <w:marBottom w:val="0"/>
                                                          <w:divBdr>
                                                            <w:top w:val="none" w:sz="0" w:space="0" w:color="auto"/>
                                                            <w:left w:val="none" w:sz="0" w:space="0" w:color="auto"/>
                                                            <w:bottom w:val="none" w:sz="0" w:space="0" w:color="auto"/>
                                                            <w:right w:val="none" w:sz="0" w:space="0" w:color="auto"/>
                                                          </w:divBdr>
                                                          <w:divsChild>
                                                            <w:div w:id="421950083">
                                                              <w:marLeft w:val="0"/>
                                                              <w:marRight w:val="0"/>
                                                              <w:marTop w:val="0"/>
                                                              <w:marBottom w:val="0"/>
                                                              <w:divBdr>
                                                                <w:top w:val="none" w:sz="0" w:space="0" w:color="auto"/>
                                                                <w:left w:val="none" w:sz="0" w:space="0" w:color="auto"/>
                                                                <w:bottom w:val="none" w:sz="0" w:space="0" w:color="auto"/>
                                                                <w:right w:val="none" w:sz="0" w:space="0" w:color="auto"/>
                                                              </w:divBdr>
                                                              <w:divsChild>
                                                                <w:div w:id="1539581208">
                                                                  <w:marLeft w:val="0"/>
                                                                  <w:marRight w:val="0"/>
                                                                  <w:marTop w:val="0"/>
                                                                  <w:marBottom w:val="0"/>
                                                                  <w:divBdr>
                                                                    <w:top w:val="none" w:sz="0" w:space="0" w:color="auto"/>
                                                                    <w:left w:val="none" w:sz="0" w:space="0" w:color="auto"/>
                                                                    <w:bottom w:val="none" w:sz="0" w:space="0" w:color="auto"/>
                                                                    <w:right w:val="none" w:sz="0" w:space="0" w:color="auto"/>
                                                                  </w:divBdr>
                                                                  <w:divsChild>
                                                                    <w:div w:id="1236163174">
                                                                      <w:marLeft w:val="0"/>
                                                                      <w:marRight w:val="0"/>
                                                                      <w:marTop w:val="0"/>
                                                                      <w:marBottom w:val="0"/>
                                                                      <w:divBdr>
                                                                        <w:top w:val="none" w:sz="0" w:space="0" w:color="auto"/>
                                                                        <w:left w:val="none" w:sz="0" w:space="0" w:color="auto"/>
                                                                        <w:bottom w:val="none" w:sz="0" w:space="0" w:color="auto"/>
                                                                        <w:right w:val="none" w:sz="0" w:space="0" w:color="auto"/>
                                                                      </w:divBdr>
                                                                      <w:divsChild>
                                                                        <w:div w:id="1509254700">
                                                                          <w:marLeft w:val="0"/>
                                                                          <w:marRight w:val="0"/>
                                                                          <w:marTop w:val="0"/>
                                                                          <w:marBottom w:val="0"/>
                                                                          <w:divBdr>
                                                                            <w:top w:val="none" w:sz="0" w:space="0" w:color="auto"/>
                                                                            <w:left w:val="none" w:sz="0" w:space="0" w:color="auto"/>
                                                                            <w:bottom w:val="none" w:sz="0" w:space="0" w:color="auto"/>
                                                                            <w:right w:val="none" w:sz="0" w:space="0" w:color="auto"/>
                                                                          </w:divBdr>
                                                                          <w:divsChild>
                                                                            <w:div w:id="1876313895">
                                                                              <w:marLeft w:val="0"/>
                                                                              <w:marRight w:val="0"/>
                                                                              <w:marTop w:val="0"/>
                                                                              <w:marBottom w:val="0"/>
                                                                              <w:divBdr>
                                                                                <w:top w:val="none" w:sz="0" w:space="0" w:color="auto"/>
                                                                                <w:left w:val="none" w:sz="0" w:space="0" w:color="auto"/>
                                                                                <w:bottom w:val="none" w:sz="0" w:space="0" w:color="auto"/>
                                                                                <w:right w:val="none" w:sz="0" w:space="0" w:color="auto"/>
                                                                              </w:divBdr>
                                                                              <w:divsChild>
                                                                                <w:div w:id="1964581788">
                                                                                  <w:marLeft w:val="0"/>
                                                                                  <w:marRight w:val="0"/>
                                                                                  <w:marTop w:val="0"/>
                                                                                  <w:marBottom w:val="0"/>
                                                                                  <w:divBdr>
                                                                                    <w:top w:val="none" w:sz="0" w:space="0" w:color="auto"/>
                                                                                    <w:left w:val="none" w:sz="0" w:space="0" w:color="auto"/>
                                                                                    <w:bottom w:val="none" w:sz="0" w:space="0" w:color="auto"/>
                                                                                    <w:right w:val="none" w:sz="0" w:space="0" w:color="auto"/>
                                                                                  </w:divBdr>
                                                                                  <w:divsChild>
                                                                                    <w:div w:id="1981612313">
                                                                                      <w:marLeft w:val="0"/>
                                                                                      <w:marRight w:val="0"/>
                                                                                      <w:marTop w:val="0"/>
                                                                                      <w:marBottom w:val="0"/>
                                                                                      <w:divBdr>
                                                                                        <w:top w:val="none" w:sz="0" w:space="0" w:color="auto"/>
                                                                                        <w:left w:val="none" w:sz="0" w:space="0" w:color="auto"/>
                                                                                        <w:bottom w:val="none" w:sz="0" w:space="0" w:color="auto"/>
                                                                                        <w:right w:val="none" w:sz="0" w:space="0" w:color="auto"/>
                                                                                      </w:divBdr>
                                                                                      <w:divsChild>
                                                                                        <w:div w:id="1941333317">
                                                                                          <w:marLeft w:val="0"/>
                                                                                          <w:marRight w:val="0"/>
                                                                                          <w:marTop w:val="0"/>
                                                                                          <w:marBottom w:val="0"/>
                                                                                          <w:divBdr>
                                                                                            <w:top w:val="none" w:sz="0" w:space="0" w:color="auto"/>
                                                                                            <w:left w:val="none" w:sz="0" w:space="0" w:color="auto"/>
                                                                                            <w:bottom w:val="none" w:sz="0" w:space="0" w:color="auto"/>
                                                                                            <w:right w:val="none" w:sz="0" w:space="0" w:color="auto"/>
                                                                                          </w:divBdr>
                                                                                          <w:divsChild>
                                                                                            <w:div w:id="1596326695">
                                                                                              <w:marLeft w:val="0"/>
                                                                                              <w:marRight w:val="0"/>
                                                                                              <w:marTop w:val="0"/>
                                                                                              <w:marBottom w:val="0"/>
                                                                                              <w:divBdr>
                                                                                                <w:top w:val="none" w:sz="0" w:space="0" w:color="auto"/>
                                                                                                <w:left w:val="none" w:sz="0" w:space="0" w:color="auto"/>
                                                                                                <w:bottom w:val="none" w:sz="0" w:space="0" w:color="auto"/>
                                                                                                <w:right w:val="none" w:sz="0" w:space="0" w:color="auto"/>
                                                                                              </w:divBdr>
                                                                                              <w:divsChild>
                                                                                                <w:div w:id="1937866373">
                                                                                                  <w:marLeft w:val="0"/>
                                                                                                  <w:marRight w:val="0"/>
                                                                                                  <w:marTop w:val="0"/>
                                                                                                  <w:marBottom w:val="0"/>
                                                                                                  <w:divBdr>
                                                                                                    <w:top w:val="none" w:sz="0" w:space="0" w:color="auto"/>
                                                                                                    <w:left w:val="none" w:sz="0" w:space="0" w:color="auto"/>
                                                                                                    <w:bottom w:val="none" w:sz="0" w:space="0" w:color="auto"/>
                                                                                                    <w:right w:val="none" w:sz="0" w:space="0" w:color="auto"/>
                                                                                                  </w:divBdr>
                                                                                                  <w:divsChild>
                                                                                                    <w:div w:id="957948427">
                                                                                                      <w:marLeft w:val="0"/>
                                                                                                      <w:marRight w:val="0"/>
                                                                                                      <w:marTop w:val="0"/>
                                                                                                      <w:marBottom w:val="0"/>
                                                                                                      <w:divBdr>
                                                                                                        <w:top w:val="none" w:sz="0" w:space="0" w:color="auto"/>
                                                                                                        <w:left w:val="none" w:sz="0" w:space="0" w:color="auto"/>
                                                                                                        <w:bottom w:val="none" w:sz="0" w:space="0" w:color="auto"/>
                                                                                                        <w:right w:val="none" w:sz="0" w:space="0" w:color="auto"/>
                                                                                                      </w:divBdr>
                                                                                                      <w:divsChild>
                                                                                                        <w:div w:id="1840344527">
                                                                                                          <w:marLeft w:val="0"/>
                                                                                                          <w:marRight w:val="0"/>
                                                                                                          <w:marTop w:val="0"/>
                                                                                                          <w:marBottom w:val="0"/>
                                                                                                          <w:divBdr>
                                                                                                            <w:top w:val="none" w:sz="0" w:space="0" w:color="auto"/>
                                                                                                            <w:left w:val="none" w:sz="0" w:space="0" w:color="auto"/>
                                                                                                            <w:bottom w:val="none" w:sz="0" w:space="0" w:color="auto"/>
                                                                                                            <w:right w:val="none" w:sz="0" w:space="0" w:color="auto"/>
                                                                                                          </w:divBdr>
                                                                                                          <w:divsChild>
                                                                                                            <w:div w:id="1012536547">
                                                                                                              <w:marLeft w:val="0"/>
                                                                                                              <w:marRight w:val="0"/>
                                                                                                              <w:marTop w:val="0"/>
                                                                                                              <w:marBottom w:val="0"/>
                                                                                                              <w:divBdr>
                                                                                                                <w:top w:val="none" w:sz="0" w:space="0" w:color="auto"/>
                                                                                                                <w:left w:val="none" w:sz="0" w:space="0" w:color="auto"/>
                                                                                                                <w:bottom w:val="none" w:sz="0" w:space="0" w:color="auto"/>
                                                                                                                <w:right w:val="none" w:sz="0" w:space="0" w:color="auto"/>
                                                                                                              </w:divBdr>
                                                                                                              <w:divsChild>
                                                                                                                <w:div w:id="190340901">
                                                                                                                  <w:marLeft w:val="0"/>
                                                                                                                  <w:marRight w:val="0"/>
                                                                                                                  <w:marTop w:val="0"/>
                                                                                                                  <w:marBottom w:val="0"/>
                                                                                                                  <w:divBdr>
                                                                                                                    <w:top w:val="none" w:sz="0" w:space="0" w:color="auto"/>
                                                                                                                    <w:left w:val="none" w:sz="0" w:space="0" w:color="auto"/>
                                                                                                                    <w:bottom w:val="none" w:sz="0" w:space="0" w:color="auto"/>
                                                                                                                    <w:right w:val="none" w:sz="0" w:space="0" w:color="auto"/>
                                                                                                                  </w:divBdr>
                                                                                                                  <w:divsChild>
                                                                                                                    <w:div w:id="624116984">
                                                                                                                      <w:marLeft w:val="0"/>
                                                                                                                      <w:marRight w:val="0"/>
                                                                                                                      <w:marTop w:val="0"/>
                                                                                                                      <w:marBottom w:val="0"/>
                                                                                                                      <w:divBdr>
                                                                                                                        <w:top w:val="none" w:sz="0" w:space="0" w:color="auto"/>
                                                                                                                        <w:left w:val="none" w:sz="0" w:space="0" w:color="auto"/>
                                                                                                                        <w:bottom w:val="none" w:sz="0" w:space="0" w:color="auto"/>
                                                                                                                        <w:right w:val="none" w:sz="0" w:space="0" w:color="auto"/>
                                                                                                                      </w:divBdr>
                                                                                                                      <w:divsChild>
                                                                                                                        <w:div w:id="555121236">
                                                                                                                          <w:marLeft w:val="0"/>
                                                                                                                          <w:marRight w:val="0"/>
                                                                                                                          <w:marTop w:val="0"/>
                                                                                                                          <w:marBottom w:val="0"/>
                                                                                                                          <w:divBdr>
                                                                                                                            <w:top w:val="none" w:sz="0" w:space="0" w:color="auto"/>
                                                                                                                            <w:left w:val="none" w:sz="0" w:space="0" w:color="auto"/>
                                                                                                                            <w:bottom w:val="none" w:sz="0" w:space="0" w:color="auto"/>
                                                                                                                            <w:right w:val="none" w:sz="0" w:space="0" w:color="auto"/>
                                                                                                                          </w:divBdr>
                                                                                                                          <w:divsChild>
                                                                                                                            <w:div w:id="882909593">
                                                                                                                              <w:marLeft w:val="0"/>
                                                                                                                              <w:marRight w:val="0"/>
                                                                                                                              <w:marTop w:val="0"/>
                                                                                                                              <w:marBottom w:val="0"/>
                                                                                                                              <w:divBdr>
                                                                                                                                <w:top w:val="none" w:sz="0" w:space="0" w:color="auto"/>
                                                                                                                                <w:left w:val="none" w:sz="0" w:space="0" w:color="auto"/>
                                                                                                                                <w:bottom w:val="none" w:sz="0" w:space="0" w:color="auto"/>
                                                                                                                                <w:right w:val="none" w:sz="0" w:space="0" w:color="auto"/>
                                                                                                                              </w:divBdr>
                                                                                                                              <w:divsChild>
                                                                                                                                <w:div w:id="111754518">
                                                                                                                                  <w:marLeft w:val="0"/>
                                                                                                                                  <w:marRight w:val="0"/>
                                                                                                                                  <w:marTop w:val="0"/>
                                                                                                                                  <w:marBottom w:val="0"/>
                                                                                                                                  <w:divBdr>
                                                                                                                                    <w:top w:val="none" w:sz="0" w:space="0" w:color="auto"/>
                                                                                                                                    <w:left w:val="none" w:sz="0" w:space="0" w:color="auto"/>
                                                                                                                                    <w:bottom w:val="none" w:sz="0" w:space="0" w:color="auto"/>
                                                                                                                                    <w:right w:val="none" w:sz="0" w:space="0" w:color="auto"/>
                                                                                                                                  </w:divBdr>
                                                                                                                                  <w:divsChild>
                                                                                                                                    <w:div w:id="1022513135">
                                                                                                                                      <w:marLeft w:val="0"/>
                                                                                                                                      <w:marRight w:val="0"/>
                                                                                                                                      <w:marTop w:val="0"/>
                                                                                                                                      <w:marBottom w:val="0"/>
                                                                                                                                      <w:divBdr>
                                                                                                                                        <w:top w:val="none" w:sz="0" w:space="0" w:color="auto"/>
                                                                                                                                        <w:left w:val="none" w:sz="0" w:space="0" w:color="auto"/>
                                                                                                                                        <w:bottom w:val="none" w:sz="0" w:space="0" w:color="auto"/>
                                                                                                                                        <w:right w:val="none" w:sz="0" w:space="0" w:color="auto"/>
                                                                                                                                      </w:divBdr>
                                                                                                                                      <w:divsChild>
                                                                                                                                        <w:div w:id="2041390975">
                                                                                                                                          <w:marLeft w:val="0"/>
                                                                                                                                          <w:marRight w:val="0"/>
                                                                                                                                          <w:marTop w:val="0"/>
                                                                                                                                          <w:marBottom w:val="0"/>
                                                                                                                                          <w:divBdr>
                                                                                                                                            <w:top w:val="none" w:sz="0" w:space="0" w:color="auto"/>
                                                                                                                                            <w:left w:val="none" w:sz="0" w:space="0" w:color="auto"/>
                                                                                                                                            <w:bottom w:val="none" w:sz="0" w:space="0" w:color="auto"/>
                                                                                                                                            <w:right w:val="none" w:sz="0" w:space="0" w:color="auto"/>
                                                                                                                                          </w:divBdr>
                                                                                                                                          <w:divsChild>
                                                                                                                                            <w:div w:id="1059481565">
                                                                                                                                              <w:marLeft w:val="0"/>
                                                                                                                                              <w:marRight w:val="0"/>
                                                                                                                                              <w:marTop w:val="0"/>
                                                                                                                                              <w:marBottom w:val="0"/>
                                                                                                                                              <w:divBdr>
                                                                                                                                                <w:top w:val="none" w:sz="0" w:space="0" w:color="auto"/>
                                                                                                                                                <w:left w:val="none" w:sz="0" w:space="0" w:color="auto"/>
                                                                                                                                                <w:bottom w:val="none" w:sz="0" w:space="0" w:color="auto"/>
                                                                                                                                                <w:right w:val="none" w:sz="0" w:space="0" w:color="auto"/>
                                                                                                                                              </w:divBdr>
                                                                                                                                              <w:divsChild>
                                                                                                                                                <w:div w:id="379473442">
                                                                                                                                                  <w:marLeft w:val="0"/>
                                                                                                                                                  <w:marRight w:val="0"/>
                                                                                                                                                  <w:marTop w:val="0"/>
                                                                                                                                                  <w:marBottom w:val="0"/>
                                                                                                                                                  <w:divBdr>
                                                                                                                                                    <w:top w:val="none" w:sz="0" w:space="0" w:color="auto"/>
                                                                                                                                                    <w:left w:val="none" w:sz="0" w:space="0" w:color="auto"/>
                                                                                                                                                    <w:bottom w:val="none" w:sz="0" w:space="0" w:color="auto"/>
                                                                                                                                                    <w:right w:val="none" w:sz="0" w:space="0" w:color="auto"/>
                                                                                                                                                  </w:divBdr>
                                                                                                                                                  <w:divsChild>
                                                                                                                                                    <w:div w:id="1256591742">
                                                                                                                                                      <w:marLeft w:val="0"/>
                                                                                                                                                      <w:marRight w:val="0"/>
                                                                                                                                                      <w:marTop w:val="0"/>
                                                                                                                                                      <w:marBottom w:val="0"/>
                                                                                                                                                      <w:divBdr>
                                                                                                                                                        <w:top w:val="none" w:sz="0" w:space="0" w:color="auto"/>
                                                                                                                                                        <w:left w:val="none" w:sz="0" w:space="0" w:color="auto"/>
                                                                                                                                                        <w:bottom w:val="none" w:sz="0" w:space="0" w:color="auto"/>
                                                                                                                                                        <w:right w:val="none" w:sz="0" w:space="0" w:color="auto"/>
                                                                                                                                                      </w:divBdr>
                                                                                                                                                      <w:divsChild>
                                                                                                                                                        <w:div w:id="1833137665">
                                                                                                                                                          <w:marLeft w:val="0"/>
                                                                                                                                                          <w:marRight w:val="0"/>
                                                                                                                                                          <w:marTop w:val="0"/>
                                                                                                                                                          <w:marBottom w:val="0"/>
                                                                                                                                                          <w:divBdr>
                                                                                                                                                            <w:top w:val="none" w:sz="0" w:space="0" w:color="auto"/>
                                                                                                                                                            <w:left w:val="none" w:sz="0" w:space="0" w:color="auto"/>
                                                                                                                                                            <w:bottom w:val="none" w:sz="0" w:space="0" w:color="auto"/>
                                                                                                                                                            <w:right w:val="none" w:sz="0" w:space="0" w:color="auto"/>
                                                                                                                                                          </w:divBdr>
                                                                                                                                                          <w:divsChild>
                                                                                                                                                            <w:div w:id="1621837442">
                                                                                                                                                              <w:marLeft w:val="0"/>
                                                                                                                                                              <w:marRight w:val="0"/>
                                                                                                                                                              <w:marTop w:val="0"/>
                                                                                                                                                              <w:marBottom w:val="0"/>
                                                                                                                                                              <w:divBdr>
                                                                                                                                                                <w:top w:val="none" w:sz="0" w:space="0" w:color="auto"/>
                                                                                                                                                                <w:left w:val="none" w:sz="0" w:space="0" w:color="auto"/>
                                                                                                                                                                <w:bottom w:val="none" w:sz="0" w:space="0" w:color="auto"/>
                                                                                                                                                                <w:right w:val="none" w:sz="0" w:space="0" w:color="auto"/>
                                                                                                                                                              </w:divBdr>
                                                                                                                                                              <w:divsChild>
                                                                                                                                                                <w:div w:id="1321618541">
                                                                                                                                                                  <w:marLeft w:val="0"/>
                                                                                                                                                                  <w:marRight w:val="0"/>
                                                                                                                                                                  <w:marTop w:val="0"/>
                                                                                                                                                                  <w:marBottom w:val="0"/>
                                                                                                                                                                  <w:divBdr>
                                                                                                                                                                    <w:top w:val="none" w:sz="0" w:space="0" w:color="auto"/>
                                                                                                                                                                    <w:left w:val="none" w:sz="0" w:space="0" w:color="auto"/>
                                                                                                                                                                    <w:bottom w:val="none" w:sz="0" w:space="0" w:color="auto"/>
                                                                                                                                                                    <w:right w:val="none" w:sz="0" w:space="0" w:color="auto"/>
                                                                                                                                                                  </w:divBdr>
                                                                                                                                                                  <w:divsChild>
                                                                                                                                                                    <w:div w:id="217715186">
                                                                                                                                                                      <w:marLeft w:val="0"/>
                                                                                                                                                                      <w:marRight w:val="0"/>
                                                                                                                                                                      <w:marTop w:val="0"/>
                                                                                                                                                                      <w:marBottom w:val="0"/>
                                                                                                                                                                      <w:divBdr>
                                                                                                                                                                        <w:top w:val="none" w:sz="0" w:space="0" w:color="auto"/>
                                                                                                                                                                        <w:left w:val="none" w:sz="0" w:space="0" w:color="auto"/>
                                                                                                                                                                        <w:bottom w:val="none" w:sz="0" w:space="0" w:color="auto"/>
                                                                                                                                                                        <w:right w:val="none" w:sz="0" w:space="0" w:color="auto"/>
                                                                                                                                                                      </w:divBdr>
                                                                                                                                                                      <w:divsChild>
                                                                                                                                                                        <w:div w:id="766774677">
                                                                                                                                                                          <w:marLeft w:val="0"/>
                                                                                                                                                                          <w:marRight w:val="0"/>
                                                                                                                                                                          <w:marTop w:val="0"/>
                                                                                                                                                                          <w:marBottom w:val="0"/>
                                                                                                                                                                          <w:divBdr>
                                                                                                                                                                            <w:top w:val="none" w:sz="0" w:space="0" w:color="auto"/>
                                                                                                                                                                            <w:left w:val="none" w:sz="0" w:space="0" w:color="auto"/>
                                                                                                                                                                            <w:bottom w:val="none" w:sz="0" w:space="0" w:color="auto"/>
                                                                                                                                                                            <w:right w:val="none" w:sz="0" w:space="0" w:color="auto"/>
                                                                                                                                                                          </w:divBdr>
                                                                                                                                                                          <w:divsChild>
                                                                                                                                                                            <w:div w:id="8527963">
                                                                                                                                                                              <w:marLeft w:val="0"/>
                                                                                                                                                                              <w:marRight w:val="0"/>
                                                                                                                                                                              <w:marTop w:val="0"/>
                                                                                                                                                                              <w:marBottom w:val="0"/>
                                                                                                                                                                              <w:divBdr>
                                                                                                                                                                                <w:top w:val="none" w:sz="0" w:space="0" w:color="auto"/>
                                                                                                                                                                                <w:left w:val="none" w:sz="0" w:space="0" w:color="auto"/>
                                                                                                                                                                                <w:bottom w:val="none" w:sz="0" w:space="0" w:color="auto"/>
                                                                                                                                                                                <w:right w:val="none" w:sz="0" w:space="0" w:color="auto"/>
                                                                                                                                                                              </w:divBdr>
                                                                                                                                                                              <w:divsChild>
                                                                                                                                                                                <w:div w:id="2058359542">
                                                                                                                                                                                  <w:marLeft w:val="0"/>
                                                                                                                                                                                  <w:marRight w:val="0"/>
                                                                                                                                                                                  <w:marTop w:val="0"/>
                                                                                                                                                                                  <w:marBottom w:val="0"/>
                                                                                                                                                                                  <w:divBdr>
                                                                                                                                                                                    <w:top w:val="none" w:sz="0" w:space="0" w:color="auto"/>
                                                                                                                                                                                    <w:left w:val="none" w:sz="0" w:space="0" w:color="auto"/>
                                                                                                                                                                                    <w:bottom w:val="none" w:sz="0" w:space="0" w:color="auto"/>
                                                                                                                                                                                    <w:right w:val="none" w:sz="0" w:space="0" w:color="auto"/>
                                                                                                                                                                                  </w:divBdr>
                                                                                                                                                                                  <w:divsChild>
                                                                                                                                                                                    <w:div w:id="1439761903">
                                                                                                                                                                                      <w:marLeft w:val="0"/>
                                                                                                                                                                                      <w:marRight w:val="0"/>
                                                                                                                                                                                      <w:marTop w:val="0"/>
                                                                                                                                                                                      <w:marBottom w:val="0"/>
                                                                                                                                                                                      <w:divBdr>
                                                                                                                                                                                        <w:top w:val="none" w:sz="0" w:space="0" w:color="auto"/>
                                                                                                                                                                                        <w:left w:val="none" w:sz="0" w:space="0" w:color="auto"/>
                                                                                                                                                                                        <w:bottom w:val="none" w:sz="0" w:space="0" w:color="auto"/>
                                                                                                                                                                                        <w:right w:val="none" w:sz="0" w:space="0" w:color="auto"/>
                                                                                                                                                                                      </w:divBdr>
                                                                                                                                                                                      <w:divsChild>
                                                                                                                                                                                        <w:div w:id="1071930700">
                                                                                                                                                                                          <w:marLeft w:val="0"/>
                                                                                                                                                                                          <w:marRight w:val="0"/>
                                                                                                                                                                                          <w:marTop w:val="0"/>
                                                                                                                                                                                          <w:marBottom w:val="0"/>
                                                                                                                                                                                          <w:divBdr>
                                                                                                                                                                                            <w:top w:val="none" w:sz="0" w:space="0" w:color="auto"/>
                                                                                                                                                                                            <w:left w:val="none" w:sz="0" w:space="0" w:color="auto"/>
                                                                                                                                                                                            <w:bottom w:val="none" w:sz="0" w:space="0" w:color="auto"/>
                                                                                                                                                                                            <w:right w:val="none" w:sz="0" w:space="0" w:color="auto"/>
                                                                                                                                                                                          </w:divBdr>
                                                                                                                                                                                          <w:divsChild>
                                                                                                                                                                                            <w:div w:id="760376556">
                                                                                                                                                                                              <w:marLeft w:val="0"/>
                                                                                                                                                                                              <w:marRight w:val="0"/>
                                                                                                                                                                                              <w:marTop w:val="0"/>
                                                                                                                                                                                              <w:marBottom w:val="0"/>
                                                                                                                                                                                              <w:divBdr>
                                                                                                                                                                                                <w:top w:val="none" w:sz="0" w:space="0" w:color="auto"/>
                                                                                                                                                                                                <w:left w:val="none" w:sz="0" w:space="0" w:color="auto"/>
                                                                                                                                                                                                <w:bottom w:val="none" w:sz="0" w:space="0" w:color="auto"/>
                                                                                                                                                                                                <w:right w:val="none" w:sz="0" w:space="0" w:color="auto"/>
                                                                                                                                                                                              </w:divBdr>
                                                                                                                                                                                              <w:divsChild>
                                                                                                                                                                                                <w:div w:id="737675167">
                                                                                                                                                                                                  <w:marLeft w:val="0"/>
                                                                                                                                                                                                  <w:marRight w:val="0"/>
                                                                                                                                                                                                  <w:marTop w:val="0"/>
                                                                                                                                                                                                  <w:marBottom w:val="0"/>
                                                                                                                                                                                                  <w:divBdr>
                                                                                                                                                                                                    <w:top w:val="none" w:sz="0" w:space="0" w:color="auto"/>
                                                                                                                                                                                                    <w:left w:val="none" w:sz="0" w:space="0" w:color="auto"/>
                                                                                                                                                                                                    <w:bottom w:val="none" w:sz="0" w:space="0" w:color="auto"/>
                                                                                                                                                                                                    <w:right w:val="none" w:sz="0" w:space="0" w:color="auto"/>
                                                                                                                                                                                                  </w:divBdr>
                                                                                                                                                                                                  <w:divsChild>
                                                                                                                                                                                                    <w:div w:id="114062613">
                                                                                                                                                                                                      <w:marLeft w:val="0"/>
                                                                                                                                                                                                      <w:marRight w:val="0"/>
                                                                                                                                                                                                      <w:marTop w:val="0"/>
                                                                                                                                                                                                      <w:marBottom w:val="0"/>
                                                                                                                                                                                                      <w:divBdr>
                                                                                                                                                                                                        <w:top w:val="none" w:sz="0" w:space="0" w:color="auto"/>
                                                                                                                                                                                                        <w:left w:val="none" w:sz="0" w:space="0" w:color="auto"/>
                                                                                                                                                                                                        <w:bottom w:val="none" w:sz="0" w:space="0" w:color="auto"/>
                                                                                                                                                                                                        <w:right w:val="none" w:sz="0" w:space="0" w:color="auto"/>
                                                                                                                                                                                                      </w:divBdr>
                                                                                                                                                                                                      <w:divsChild>
                                                                                                                                                                                                        <w:div w:id="652830626">
                                                                                                                                                                                                          <w:marLeft w:val="0"/>
                                                                                                                                                                                                          <w:marRight w:val="0"/>
                                                                                                                                                                                                          <w:marTop w:val="0"/>
                                                                                                                                                                                                          <w:marBottom w:val="0"/>
                                                                                                                                                                                                          <w:divBdr>
                                                                                                                                                                                                            <w:top w:val="none" w:sz="0" w:space="0" w:color="auto"/>
                                                                                                                                                                                                            <w:left w:val="none" w:sz="0" w:space="0" w:color="auto"/>
                                                                                                                                                                                                            <w:bottom w:val="none" w:sz="0" w:space="0" w:color="auto"/>
                                                                                                                                                                                                            <w:right w:val="none" w:sz="0" w:space="0" w:color="auto"/>
                                                                                                                                                                                                          </w:divBdr>
                                                                                                                                                                                                          <w:divsChild>
                                                                                                                                                                                                            <w:div w:id="2044670468">
                                                                                                                                                                                                              <w:marLeft w:val="0"/>
                                                                                                                                                                                                              <w:marRight w:val="0"/>
                                                                                                                                                                                                              <w:marTop w:val="0"/>
                                                                                                                                                                                                              <w:marBottom w:val="0"/>
                                                                                                                                                                                                              <w:divBdr>
                                                                                                                                                                                                                <w:top w:val="none" w:sz="0" w:space="0" w:color="auto"/>
                                                                                                                                                                                                                <w:left w:val="none" w:sz="0" w:space="0" w:color="auto"/>
                                                                                                                                                                                                                <w:bottom w:val="none" w:sz="0" w:space="0" w:color="auto"/>
                                                                                                                                                                                                                <w:right w:val="none" w:sz="0" w:space="0" w:color="auto"/>
                                                                                                                                                                                                              </w:divBdr>
                                                                                                                                                                                                              <w:divsChild>
                                                                                                                                                                                                                <w:div w:id="1286931240">
                                                                                                                                                                                                                  <w:marLeft w:val="0"/>
                                                                                                                                                                                                                  <w:marRight w:val="0"/>
                                                                                                                                                                                                                  <w:marTop w:val="0"/>
                                                                                                                                                                                                                  <w:marBottom w:val="0"/>
                                                                                                                                                                                                                  <w:divBdr>
                                                                                                                                                                                                                    <w:top w:val="none" w:sz="0" w:space="0" w:color="auto"/>
                                                                                                                                                                                                                    <w:left w:val="none" w:sz="0" w:space="0" w:color="auto"/>
                                                                                                                                                                                                                    <w:bottom w:val="none" w:sz="0" w:space="0" w:color="auto"/>
                                                                                                                                                                                                                    <w:right w:val="none" w:sz="0" w:space="0" w:color="auto"/>
                                                                                                                                                                                                                  </w:divBdr>
                                                                                                                                                                                                                  <w:divsChild>
                                                                                                                                                                                                                    <w:div w:id="915742832">
                                                                                                                                                                                                                      <w:marLeft w:val="0"/>
                                                                                                                                                                                                                      <w:marRight w:val="0"/>
                                                                                                                                                                                                                      <w:marTop w:val="0"/>
                                                                                                                                                                                                                      <w:marBottom w:val="0"/>
                                                                                                                                                                                                                      <w:divBdr>
                                                                                                                                                                                                                        <w:top w:val="none" w:sz="0" w:space="0" w:color="auto"/>
                                                                                                                                                                                                                        <w:left w:val="none" w:sz="0" w:space="0" w:color="auto"/>
                                                                                                                                                                                                                        <w:bottom w:val="none" w:sz="0" w:space="0" w:color="auto"/>
                                                                                                                                                                                                                        <w:right w:val="none" w:sz="0" w:space="0" w:color="auto"/>
                                                                                                                                                                                                                      </w:divBdr>
                                                                                                                                                                                                                      <w:divsChild>
                                                                                                                                                                                                                        <w:div w:id="1044409331">
                                                                                                                                                                                                                          <w:marLeft w:val="0"/>
                                                                                                                                                                                                                          <w:marRight w:val="0"/>
                                                                                                                                                                                                                          <w:marTop w:val="0"/>
                                                                                                                                                                                                                          <w:marBottom w:val="0"/>
                                                                                                                                                                                                                          <w:divBdr>
                                                                                                                                                                                                                            <w:top w:val="none" w:sz="0" w:space="0" w:color="auto"/>
                                                                                                                                                                                                                            <w:left w:val="none" w:sz="0" w:space="0" w:color="auto"/>
                                                                                                                                                                                                                            <w:bottom w:val="none" w:sz="0" w:space="0" w:color="auto"/>
                                                                                                                                                                                                                            <w:right w:val="none" w:sz="0" w:space="0" w:color="auto"/>
                                                                                                                                                                                                                          </w:divBdr>
                                                                                                                                                                                                                          <w:divsChild>
                                                                                                                                                                                                                            <w:div w:id="1767463577">
                                                                                                                                                                                                                              <w:marLeft w:val="0"/>
                                                                                                                                                                                                                              <w:marRight w:val="0"/>
                                                                                                                                                                                                                              <w:marTop w:val="0"/>
                                                                                                                                                                                                                              <w:marBottom w:val="0"/>
                                                                                                                                                                                                                              <w:divBdr>
                                                                                                                                                                                                                                <w:top w:val="none" w:sz="0" w:space="0" w:color="auto"/>
                                                                                                                                                                                                                                <w:left w:val="none" w:sz="0" w:space="0" w:color="auto"/>
                                                                                                                                                                                                                                <w:bottom w:val="none" w:sz="0" w:space="0" w:color="auto"/>
                                                                                                                                                                                                                                <w:right w:val="none" w:sz="0" w:space="0" w:color="auto"/>
                                                                                                                                                                                                                              </w:divBdr>
                                                                                                                                                                                                                              <w:divsChild>
                                                                                                                                                                                                                                <w:div w:id="1136684049">
                                                                                                                                                                                                                                  <w:marLeft w:val="0"/>
                                                                                                                                                                                                                                  <w:marRight w:val="0"/>
                                                                                                                                                                                                                                  <w:marTop w:val="0"/>
                                                                                                                                                                                                                                  <w:marBottom w:val="0"/>
                                                                                                                                                                                                                                  <w:divBdr>
                                                                                                                                                                                                                                    <w:top w:val="none" w:sz="0" w:space="0" w:color="auto"/>
                                                                                                                                                                                                                                    <w:left w:val="none" w:sz="0" w:space="0" w:color="auto"/>
                                                                                                                                                                                                                                    <w:bottom w:val="none" w:sz="0" w:space="0" w:color="auto"/>
                                                                                                                                                                                                                                    <w:right w:val="none" w:sz="0" w:space="0" w:color="auto"/>
                                                                                                                                                                                                                                  </w:divBdr>
                                                                                                                                                                                                                                  <w:divsChild>
                                                                                                                                                                                                                                    <w:div w:id="1774596514">
                                                                                                                                                                                                                                      <w:marLeft w:val="0"/>
                                                                                                                                                                                                                                      <w:marRight w:val="0"/>
                                                                                                                                                                                                                                      <w:marTop w:val="0"/>
                                                                                                                                                                                                                                      <w:marBottom w:val="0"/>
                                                                                                                                                                                                                                      <w:divBdr>
                                                                                                                                                                                                                                        <w:top w:val="none" w:sz="0" w:space="0" w:color="auto"/>
                                                                                                                                                                                                                                        <w:left w:val="none" w:sz="0" w:space="0" w:color="auto"/>
                                                                                                                                                                                                                                        <w:bottom w:val="none" w:sz="0" w:space="0" w:color="auto"/>
                                                                                                                                                                                                                                        <w:right w:val="none" w:sz="0" w:space="0" w:color="auto"/>
                                                                                                                                                                                                                                      </w:divBdr>
                                                                                                                                                                                                                                      <w:divsChild>
                                                                                                                                                                                                                                        <w:div w:id="296686751">
                                                                                                                                                                                                                                          <w:marLeft w:val="0"/>
                                                                                                                                                                                                                                          <w:marRight w:val="0"/>
                                                                                                                                                                                                                                          <w:marTop w:val="0"/>
                                                                                                                                                                                                                                          <w:marBottom w:val="0"/>
                                                                                                                                                                                                                                          <w:divBdr>
                                                                                                                                                                                                                                            <w:top w:val="none" w:sz="0" w:space="0" w:color="auto"/>
                                                                                                                                                                                                                                            <w:left w:val="none" w:sz="0" w:space="0" w:color="auto"/>
                                                                                                                                                                                                                                            <w:bottom w:val="none" w:sz="0" w:space="0" w:color="auto"/>
                                                                                                                                                                                                                                            <w:right w:val="none" w:sz="0" w:space="0" w:color="auto"/>
                                                                                                                                                                                                                                          </w:divBdr>
                                                                                                                                                                                                                                          <w:divsChild>
                                                                                                                                                                                                                                            <w:div w:id="737947880">
                                                                                                                                                                                                                                              <w:marLeft w:val="0"/>
                                                                                                                                                                                                                                              <w:marRight w:val="0"/>
                                                                                                                                                                                                                                              <w:marTop w:val="0"/>
                                                                                                                                                                                                                                              <w:marBottom w:val="0"/>
                                                                                                                                                                                                                                              <w:divBdr>
                                                                                                                                                                                                                                                <w:top w:val="none" w:sz="0" w:space="0" w:color="auto"/>
                                                                                                                                                                                                                                                <w:left w:val="none" w:sz="0" w:space="0" w:color="auto"/>
                                                                                                                                                                                                                                                <w:bottom w:val="none" w:sz="0" w:space="0" w:color="auto"/>
                                                                                                                                                                                                                                                <w:right w:val="none" w:sz="0" w:space="0" w:color="auto"/>
                                                                                                                                                                                                                                              </w:divBdr>
                                                                                                                                                                                                                                              <w:divsChild>
                                                                                                                                                                                                                                                <w:div w:id="1911112538">
                                                                                                                                                                                                                                                  <w:marLeft w:val="0"/>
                                                                                                                                                                                                                                                  <w:marRight w:val="0"/>
                                                                                                                                                                                                                                                  <w:marTop w:val="0"/>
                                                                                                                                                                                                                                                  <w:marBottom w:val="0"/>
                                                                                                                                                                                                                                                  <w:divBdr>
                                                                                                                                                                                                                                                    <w:top w:val="none" w:sz="0" w:space="0" w:color="auto"/>
                                                                                                                                                                                                                                                    <w:left w:val="none" w:sz="0" w:space="0" w:color="auto"/>
                                                                                                                                                                                                                                                    <w:bottom w:val="none" w:sz="0" w:space="0" w:color="auto"/>
                                                                                                                                                                                                                                                    <w:right w:val="none" w:sz="0" w:space="0" w:color="auto"/>
                                                                                                                                                                                                                                                  </w:divBdr>
                                                                                                                                                                                                                                                  <w:divsChild>
                                                                                                                                                                                                                                                    <w:div w:id="2079934290">
                                                                                                                                                                                                                                                      <w:marLeft w:val="0"/>
                                                                                                                                                                                                                                                      <w:marRight w:val="0"/>
                                                                                                                                                                                                                                                      <w:marTop w:val="0"/>
                                                                                                                                                                                                                                                      <w:marBottom w:val="0"/>
                                                                                                                                                                                                                                                      <w:divBdr>
                                                                                                                                                                                                                                                        <w:top w:val="none" w:sz="0" w:space="0" w:color="auto"/>
                                                                                                                                                                                                                                                        <w:left w:val="none" w:sz="0" w:space="0" w:color="auto"/>
                                                                                                                                                                                                                                                        <w:bottom w:val="none" w:sz="0" w:space="0" w:color="auto"/>
                                                                                                                                                                                                                                                        <w:right w:val="none" w:sz="0" w:space="0" w:color="auto"/>
                                                                                                                                                                                                                                                      </w:divBdr>
                                                                                                                                                                                                                                                      <w:divsChild>
                                                                                                                                                                                                                                                        <w:div w:id="2097052387">
                                                                                                                                                                                                                                                          <w:marLeft w:val="0"/>
                                                                                                                                                                                                                                                          <w:marRight w:val="0"/>
                                                                                                                                                                                                                                                          <w:marTop w:val="0"/>
                                                                                                                                                                                                                                                          <w:marBottom w:val="0"/>
                                                                                                                                                                                                                                                          <w:divBdr>
                                                                                                                                                                                                                                                            <w:top w:val="none" w:sz="0" w:space="0" w:color="auto"/>
                                                                                                                                                                                                                                                            <w:left w:val="none" w:sz="0" w:space="0" w:color="auto"/>
                                                                                                                                                                                                                                                            <w:bottom w:val="none" w:sz="0" w:space="0" w:color="auto"/>
                                                                                                                                                                                                                                                            <w:right w:val="none" w:sz="0" w:space="0" w:color="auto"/>
                                                                                                                                                                                                                                                          </w:divBdr>
                                                                                                                                                                                                                                                          <w:divsChild>
                                                                                                                                                                                                                                                            <w:div w:id="2130973941">
                                                                                                                                                                                                                                                              <w:marLeft w:val="0"/>
                                                                                                                                                                                                                                                              <w:marRight w:val="0"/>
                                                                                                                                                                                                                                                              <w:marTop w:val="0"/>
                                                                                                                                                                                                                                                              <w:marBottom w:val="0"/>
                                                                                                                                                                                                                                                              <w:divBdr>
                                                                                                                                                                                                                                                                <w:top w:val="none" w:sz="0" w:space="0" w:color="auto"/>
                                                                                                                                                                                                                                                                <w:left w:val="none" w:sz="0" w:space="0" w:color="auto"/>
                                                                                                                                                                                                                                                                <w:bottom w:val="none" w:sz="0" w:space="0" w:color="auto"/>
                                                                                                                                                                                                                                                                <w:right w:val="none" w:sz="0" w:space="0" w:color="auto"/>
                                                                                                                                                                                                                                                              </w:divBdr>
                                                                                                                                                                                                                                                              <w:divsChild>
                                                                                                                                                                                                                                                                <w:div w:id="359665150">
                                                                                                                                                                                                                                                                  <w:marLeft w:val="0"/>
                                                                                                                                                                                                                                                                  <w:marRight w:val="0"/>
                                                                                                                                                                                                                                                                  <w:marTop w:val="0"/>
                                                                                                                                                                                                                                                                  <w:marBottom w:val="0"/>
                                                                                                                                                                                                                                                                  <w:divBdr>
                                                                                                                                                                                                                                                                    <w:top w:val="none" w:sz="0" w:space="0" w:color="auto"/>
                                                                                                                                                                                                                                                                    <w:left w:val="none" w:sz="0" w:space="0" w:color="auto"/>
                                                                                                                                                                                                                                                                    <w:bottom w:val="none" w:sz="0" w:space="0" w:color="auto"/>
                                                                                                                                                                                                                                                                    <w:right w:val="none" w:sz="0" w:space="0" w:color="auto"/>
                                                                                                                                                                                                                                                                  </w:divBdr>
                                                                                                                                                                                                                                                                  <w:divsChild>
                                                                                                                                                                                                                                                                    <w:div w:id="1401561592">
                                                                                                                                                                                                                                                                      <w:marLeft w:val="0"/>
                                                                                                                                                                                                                                                                      <w:marRight w:val="0"/>
                                                                                                                                                                                                                                                                      <w:marTop w:val="0"/>
                                                                                                                                                                                                                                                                      <w:marBottom w:val="0"/>
                                                                                                                                                                                                                                                                      <w:divBdr>
                                                                                                                                                                                                                                                                        <w:top w:val="none" w:sz="0" w:space="0" w:color="auto"/>
                                                                                                                                                                                                                                                                        <w:left w:val="none" w:sz="0" w:space="0" w:color="auto"/>
                                                                                                                                                                                                                                                                        <w:bottom w:val="none" w:sz="0" w:space="0" w:color="auto"/>
                                                                                                                                                                                                                                                                        <w:right w:val="none" w:sz="0" w:space="0" w:color="auto"/>
                                                                                                                                                                                                                                                                      </w:divBdr>
                                                                                                                                                                                                                                                                      <w:divsChild>
                                                                                                                                                                                                                                                                        <w:div w:id="2121993496">
                                                                                                                                                                                                                                                                          <w:marLeft w:val="0"/>
                                                                                                                                                                                                                                                                          <w:marRight w:val="0"/>
                                                                                                                                                                                                                                                                          <w:marTop w:val="0"/>
                                                                                                                                                                                                                                                                          <w:marBottom w:val="0"/>
                                                                                                                                                                                                                                                                          <w:divBdr>
                                                                                                                                                                                                                                                                            <w:top w:val="none" w:sz="0" w:space="0" w:color="auto"/>
                                                                                                                                                                                                                                                                            <w:left w:val="none" w:sz="0" w:space="0" w:color="auto"/>
                                                                                                                                                                                                                                                                            <w:bottom w:val="none" w:sz="0" w:space="0" w:color="auto"/>
                                                                                                                                                                                                                                                                            <w:right w:val="none" w:sz="0" w:space="0" w:color="auto"/>
                                                                                                                                                                                                                                                                          </w:divBdr>
                                                                                                                                                                                                                                                                          <w:divsChild>
                                                                                                                                                                                                                                                                            <w:div w:id="1692417616">
                                                                                                                                                                                                                                                                              <w:marLeft w:val="0"/>
                                                                                                                                                                                                                                                                              <w:marRight w:val="0"/>
                                                                                                                                                                                                                                                                              <w:marTop w:val="0"/>
                                                                                                                                                                                                                                                                              <w:marBottom w:val="0"/>
                                                                                                                                                                                                                                                                              <w:divBdr>
                                                                                                                                                                                                                                                                                <w:top w:val="none" w:sz="0" w:space="0" w:color="auto"/>
                                                                                                                                                                                                                                                                                <w:left w:val="none" w:sz="0" w:space="0" w:color="auto"/>
                                                                                                                                                                                                                                                                                <w:bottom w:val="none" w:sz="0" w:space="0" w:color="auto"/>
                                                                                                                                                                                                                                                                                <w:right w:val="none" w:sz="0" w:space="0" w:color="auto"/>
                                                                                                                                                                                                                                                                              </w:divBdr>
                                                                                                                                                                                                                                                                              <w:divsChild>
                                                                                                                                                                                                                                                                                <w:div w:id="116224539">
                                                                                                                                                                                                                                                                                  <w:marLeft w:val="0"/>
                                                                                                                                                                                                                                                                                  <w:marRight w:val="0"/>
                                                                                                                                                                                                                                                                                  <w:marTop w:val="0"/>
                                                                                                                                                                                                                                                                                  <w:marBottom w:val="0"/>
                                                                                                                                                                                                                                                                                  <w:divBdr>
                                                                                                                                                                                                                                                                                    <w:top w:val="none" w:sz="0" w:space="0" w:color="auto"/>
                                                                                                                                                                                                                                                                                    <w:left w:val="none" w:sz="0" w:space="0" w:color="auto"/>
                                                                                                                                                                                                                                                                                    <w:bottom w:val="none" w:sz="0" w:space="0" w:color="auto"/>
                                                                                                                                                                                                                                                                                    <w:right w:val="none" w:sz="0" w:space="0" w:color="auto"/>
                                                                                                                                                                                                                                                                                  </w:divBdr>
                                                                                                                                                                                                                                                                                  <w:divsChild>
                                                                                                                                                                                                                                                                                    <w:div w:id="1192690496">
                                                                                                                                                                                                                                                                                      <w:marLeft w:val="0"/>
                                                                                                                                                                                                                                                                                      <w:marRight w:val="0"/>
                                                                                                                                                                                                                                                                                      <w:marTop w:val="0"/>
                                                                                                                                                                                                                                                                                      <w:marBottom w:val="0"/>
                                                                                                                                                                                                                                                                                      <w:divBdr>
                                                                                                                                                                                                                                                                                        <w:top w:val="none" w:sz="0" w:space="0" w:color="auto"/>
                                                                                                                                                                                                                                                                                        <w:left w:val="none" w:sz="0" w:space="0" w:color="auto"/>
                                                                                                                                                                                                                                                                                        <w:bottom w:val="none" w:sz="0" w:space="0" w:color="auto"/>
                                                                                                                                                                                                                                                                                        <w:right w:val="none" w:sz="0" w:space="0" w:color="auto"/>
                                                                                                                                                                                                                                                                                      </w:divBdr>
                                                                                                                                                                                                                                                                                      <w:divsChild>
                                                                                                                                                                                                                                                                                        <w:div w:id="1620721671">
                                                                                                                                                                                                                                                                                          <w:marLeft w:val="0"/>
                                                                                                                                                                                                                                                                                          <w:marRight w:val="0"/>
                                                                                                                                                                                                                                                                                          <w:marTop w:val="0"/>
                                                                                                                                                                                                                                                                                          <w:marBottom w:val="0"/>
                                                                                                                                                                                                                                                                                          <w:divBdr>
                                                                                                                                                                                                                                                                                            <w:top w:val="none" w:sz="0" w:space="0" w:color="auto"/>
                                                                                                                                                                                                                                                                                            <w:left w:val="none" w:sz="0" w:space="0" w:color="auto"/>
                                                                                                                                                                                                                                                                                            <w:bottom w:val="none" w:sz="0" w:space="0" w:color="auto"/>
                                                                                                                                                                                                                                                                                            <w:right w:val="none" w:sz="0" w:space="0" w:color="auto"/>
                                                                                                                                                                                                                                                                                          </w:divBdr>
                                                                                                                                                                                                                                                                                          <w:divsChild>
                                                                                                                                                                                                                                                                                            <w:div w:id="559949880">
                                                                                                                                                                                                                                                                                              <w:marLeft w:val="0"/>
                                                                                                                                                                                                                                                                                              <w:marRight w:val="0"/>
                                                                                                                                                                                                                                                                                              <w:marTop w:val="0"/>
                                                                                                                                                                                                                                                                                              <w:marBottom w:val="0"/>
                                                                                                                                                                                                                                                                                              <w:divBdr>
                                                                                                                                                                                                                                                                                                <w:top w:val="none" w:sz="0" w:space="0" w:color="auto"/>
                                                                                                                                                                                                                                                                                                <w:left w:val="none" w:sz="0" w:space="0" w:color="auto"/>
                                                                                                                                                                                                                                                                                                <w:bottom w:val="none" w:sz="0" w:space="0" w:color="auto"/>
                                                                                                                                                                                                                                                                                                <w:right w:val="none" w:sz="0" w:space="0" w:color="auto"/>
                                                                                                                                                                                                                                                                                              </w:divBdr>
                                                                                                                                                                                                                                                                                              <w:divsChild>
                                                                                                                                                                                                                                                                                                <w:div w:id="437532363">
                                                                                                                                                                                                                                                                                                  <w:marLeft w:val="0"/>
                                                                                                                                                                                                                                                                                                  <w:marRight w:val="0"/>
                                                                                                                                                                                                                                                                                                  <w:marTop w:val="0"/>
                                                                                                                                                                                                                                                                                                  <w:marBottom w:val="0"/>
                                                                                                                                                                                                                                                                                                  <w:divBdr>
                                                                                                                                                                                                                                                                                                    <w:top w:val="none" w:sz="0" w:space="0" w:color="auto"/>
                                                                                                                                                                                                                                                                                                    <w:left w:val="none" w:sz="0" w:space="0" w:color="auto"/>
                                                                                                                                                                                                                                                                                                    <w:bottom w:val="none" w:sz="0" w:space="0" w:color="auto"/>
                                                                                                                                                                                                                                                                                                    <w:right w:val="none" w:sz="0" w:space="0" w:color="auto"/>
                                                                                                                                                                                                                                                                                                  </w:divBdr>
                                                                                                                                                                                                                                                                                                  <w:divsChild>
                                                                                                                                                                                                                                                                                                    <w:div w:id="391270078">
                                                                                                                                                                                                                                                                                                      <w:marLeft w:val="0"/>
                                                                                                                                                                                                                                                                                                      <w:marRight w:val="0"/>
                                                                                                                                                                                                                                                                                                      <w:marTop w:val="0"/>
                                                                                                                                                                                                                                                                                                      <w:marBottom w:val="0"/>
                                                                                                                                                                                                                                                                                                      <w:divBdr>
                                                                                                                                                                                                                                                                                                        <w:top w:val="none" w:sz="0" w:space="0" w:color="auto"/>
                                                                                                                                                                                                                                                                                                        <w:left w:val="none" w:sz="0" w:space="0" w:color="auto"/>
                                                                                                                                                                                                                                                                                                        <w:bottom w:val="none" w:sz="0" w:space="0" w:color="auto"/>
                                                                                                                                                                                                                                                                                                        <w:right w:val="none" w:sz="0" w:space="0" w:color="auto"/>
                                                                                                                                                                                                                                                                                                      </w:divBdr>
                                                                                                                                                                                                                                                                                                      <w:divsChild>
                                                                                                                                                                                                                                                                                                        <w:div w:id="1978104912">
                                                                                                                                                                                                                                                                                                          <w:marLeft w:val="0"/>
                                                                                                                                                                                                                                                                                                          <w:marRight w:val="0"/>
                                                                                                                                                                                                                                                                                                          <w:marTop w:val="0"/>
                                                                                                                                                                                                                                                                                                          <w:marBottom w:val="0"/>
                                                                                                                                                                                                                                                                                                          <w:divBdr>
                                                                                                                                                                                                                                                                                                            <w:top w:val="none" w:sz="0" w:space="0" w:color="auto"/>
                                                                                                                                                                                                                                                                                                            <w:left w:val="none" w:sz="0" w:space="0" w:color="auto"/>
                                                                                                                                                                                                                                                                                                            <w:bottom w:val="none" w:sz="0" w:space="0" w:color="auto"/>
                                                                                                                                                                                                                                                                                                            <w:right w:val="none" w:sz="0" w:space="0" w:color="auto"/>
                                                                                                                                                                                                                                                                                                          </w:divBdr>
                                                                                                                                                                                                                                                                                                          <w:divsChild>
                                                                                                                                                                                                                                                                                                            <w:div w:id="1994020649">
                                                                                                                                                                                                                                                                                                              <w:marLeft w:val="0"/>
                                                                                                                                                                                                                                                                                                              <w:marRight w:val="0"/>
                                                                                                                                                                                                                                                                                                              <w:marTop w:val="0"/>
                                                                                                                                                                                                                                                                                                              <w:marBottom w:val="0"/>
                                                                                                                                                                                                                                                                                                              <w:divBdr>
                                                                                                                                                                                                                                                                                                                <w:top w:val="none" w:sz="0" w:space="0" w:color="auto"/>
                                                                                                                                                                                                                                                                                                                <w:left w:val="none" w:sz="0" w:space="0" w:color="auto"/>
                                                                                                                                                                                                                                                                                                                <w:bottom w:val="none" w:sz="0" w:space="0" w:color="auto"/>
                                                                                                                                                                                                                                                                                                                <w:right w:val="none" w:sz="0" w:space="0" w:color="auto"/>
                                                                                                                                                                                                                                                                                                              </w:divBdr>
                                                                                                                                                                                                                                                                                                              <w:divsChild>
                                                                                                                                                                                                                                                                                                                <w:div w:id="97020583">
                                                                                                                                                                                                                                                                                                                  <w:marLeft w:val="0"/>
                                                                                                                                                                                                                                                                                                                  <w:marRight w:val="0"/>
                                                                                                                                                                                                                                                                                                                  <w:marTop w:val="0"/>
                                                                                                                                                                                                                                                                                                                  <w:marBottom w:val="0"/>
                                                                                                                                                                                                                                                                                                                  <w:divBdr>
                                                                                                                                                                                                                                                                                                                    <w:top w:val="none" w:sz="0" w:space="0" w:color="auto"/>
                                                                                                                                                                                                                                                                                                                    <w:left w:val="none" w:sz="0" w:space="0" w:color="auto"/>
                                                                                                                                                                                                                                                                                                                    <w:bottom w:val="none" w:sz="0" w:space="0" w:color="auto"/>
                                                                                                                                                                                                                                                                                                                    <w:right w:val="none" w:sz="0" w:space="0" w:color="auto"/>
                                                                                                                                                                                                                                                                                                                  </w:divBdr>
                                                                                                                                                                                                                                                                                                                  <w:divsChild>
                                                                                                                                                                                                                                                                                                                    <w:div w:id="2089576534">
                                                                                                                                                                                                                                                                                                                      <w:marLeft w:val="0"/>
                                                                                                                                                                                                                                                                                                                      <w:marRight w:val="0"/>
                                                                                                                                                                                                                                                                                                                      <w:marTop w:val="0"/>
                                                                                                                                                                                                                                                                                                                      <w:marBottom w:val="0"/>
                                                                                                                                                                                                                                                                                                                      <w:divBdr>
                                                                                                                                                                                                                                                                                                                        <w:top w:val="none" w:sz="0" w:space="0" w:color="auto"/>
                                                                                                                                                                                                                                                                                                                        <w:left w:val="none" w:sz="0" w:space="0" w:color="auto"/>
                                                                                                                                                                                                                                                                                                                        <w:bottom w:val="none" w:sz="0" w:space="0" w:color="auto"/>
                                                                                                                                                                                                                                                                                                                        <w:right w:val="none" w:sz="0" w:space="0" w:color="auto"/>
                                                                                                                                                                                                                                                                                                                      </w:divBdr>
                                                                                                                                                                                                                                                                                                                      <w:divsChild>
                                                                                                                                                                                                                                                                                                                        <w:div w:id="449473815">
                                                                                                                                                                                                                                                                                                                          <w:marLeft w:val="0"/>
                                                                                                                                                                                                                                                                                                                          <w:marRight w:val="0"/>
                                                                                                                                                                                                                                                                                                                          <w:marTop w:val="0"/>
                                                                                                                                                                                                                                                                                                                          <w:marBottom w:val="0"/>
                                                                                                                                                                                                                                                                                                                          <w:divBdr>
                                                                                                                                                                                                                                                                                                                            <w:top w:val="none" w:sz="0" w:space="0" w:color="auto"/>
                                                                                                                                                                                                                                                                                                                            <w:left w:val="none" w:sz="0" w:space="0" w:color="auto"/>
                                                                                                                                                                                                                                                                                                                            <w:bottom w:val="none" w:sz="0" w:space="0" w:color="auto"/>
                                                                                                                                                                                                                                                                                                                            <w:right w:val="none" w:sz="0" w:space="0" w:color="auto"/>
                                                                                                                                                                                                                                                                                                                          </w:divBdr>
                                                                                                                                                                                                                                                                                                                          <w:divsChild>
                                                                                                                                                                                                                                                                                                                            <w:div w:id="1676690916">
                                                                                                                                                                                                                                                                                                                              <w:marLeft w:val="0"/>
                                                                                                                                                                                                                                                                                                                              <w:marRight w:val="0"/>
                                                                                                                                                                                                                                                                                                                              <w:marTop w:val="0"/>
                                                                                                                                                                                                                                                                                                                              <w:marBottom w:val="0"/>
                                                                                                                                                                                                                                                                                                                              <w:divBdr>
                                                                                                                                                                                                                                                                                                                                <w:top w:val="none" w:sz="0" w:space="0" w:color="auto"/>
                                                                                                                                                                                                                                                                                                                                <w:left w:val="none" w:sz="0" w:space="0" w:color="auto"/>
                                                                                                                                                                                                                                                                                                                                <w:bottom w:val="none" w:sz="0" w:space="0" w:color="auto"/>
                                                                                                                                                                                                                                                                                                                                <w:right w:val="none" w:sz="0" w:space="0" w:color="auto"/>
                                                                                                                                                                                                                                                                                                                              </w:divBdr>
                                                                                                                                                                                                                                                                                                                              <w:divsChild>
                                                                                                                                                                                                                                                                                                                                <w:div w:id="926040595">
                                                                                                                                                                                                                                                                                                                                  <w:marLeft w:val="0"/>
                                                                                                                                                                                                                                                                                                                                  <w:marRight w:val="0"/>
                                                                                                                                                                                                                                                                                                                                  <w:marTop w:val="0"/>
                                                                                                                                                                                                                                                                                                                                  <w:marBottom w:val="0"/>
                                                                                                                                                                                                                                                                                                                                  <w:divBdr>
                                                                                                                                                                                                                                                                                                                                    <w:top w:val="none" w:sz="0" w:space="0" w:color="auto"/>
                                                                                                                                                                                                                                                                                                                                    <w:left w:val="none" w:sz="0" w:space="0" w:color="auto"/>
                                                                                                                                                                                                                                                                                                                                    <w:bottom w:val="none" w:sz="0" w:space="0" w:color="auto"/>
                                                                                                                                                                                                                                                                                                                                    <w:right w:val="none" w:sz="0" w:space="0" w:color="auto"/>
                                                                                                                                                                                                                                                                                                                                  </w:divBdr>
                                                                                                                                                                                                                                                                                                                                  <w:divsChild>
                                                                                                                                                                                                                                                                                                                                    <w:div w:id="139539566">
                                                                                                                                                                                                                                                                                                                                      <w:marLeft w:val="0"/>
                                                                                                                                                                                                                                                                                                                                      <w:marRight w:val="0"/>
                                                                                                                                                                                                                                                                                                                                      <w:marTop w:val="0"/>
                                                                                                                                                                                                                                                                                                                                      <w:marBottom w:val="0"/>
                                                                                                                                                                                                                                                                                                                                      <w:divBdr>
                                                                                                                                                                                                                                                                                                                                        <w:top w:val="none" w:sz="0" w:space="0" w:color="auto"/>
                                                                                                                                                                                                                                                                                                                                        <w:left w:val="none" w:sz="0" w:space="0" w:color="auto"/>
                                                                                                                                                                                                                                                                                                                                        <w:bottom w:val="none" w:sz="0" w:space="0" w:color="auto"/>
                                                                                                                                                                                                                                                                                                                                        <w:right w:val="none" w:sz="0" w:space="0" w:color="auto"/>
                                                                                                                                                                                                                                                                                                                                      </w:divBdr>
                                                                                                                                                                                                                                                                                                                                      <w:divsChild>
                                                                                                                                                                                                                                                                                                                                        <w:div w:id="124739487">
                                                                                                                                                                                                                                                                                                                                          <w:marLeft w:val="0"/>
                                                                                                                                                                                                                                                                                                                                          <w:marRight w:val="0"/>
                                                                                                                                                                                                                                                                                                                                          <w:marTop w:val="0"/>
                                                                                                                                                                                                                                                                                                                                          <w:marBottom w:val="0"/>
                                                                                                                                                                                                                                                                                                                                          <w:divBdr>
                                                                                                                                                                                                                                                                                                                                            <w:top w:val="none" w:sz="0" w:space="0" w:color="auto"/>
                                                                                                                                                                                                                                                                                                                                            <w:left w:val="none" w:sz="0" w:space="0" w:color="auto"/>
                                                                                                                                                                                                                                                                                                                                            <w:bottom w:val="none" w:sz="0" w:space="0" w:color="auto"/>
                                                                                                                                                                                                                                                                                                                                            <w:right w:val="none" w:sz="0" w:space="0" w:color="auto"/>
                                                                                                                                                                                                                                                                                                                                          </w:divBdr>
                                                                                                                                                                                                                                                                                                                                          <w:divsChild>
                                                                                                                                                                                                                                                                                                                                            <w:div w:id="1543905023">
                                                                                                                                                                                                                                                                                                                                              <w:marLeft w:val="0"/>
                                                                                                                                                                                                                                                                                                                                              <w:marRight w:val="0"/>
                                                                                                                                                                                                                                                                                                                                              <w:marTop w:val="0"/>
                                                                                                                                                                                                                                                                                                                                              <w:marBottom w:val="0"/>
                                                                                                                                                                                                                                                                                                                                              <w:divBdr>
                                                                                                                                                                                                                                                                                                                                                <w:top w:val="none" w:sz="0" w:space="0" w:color="auto"/>
                                                                                                                                                                                                                                                                                                                                                <w:left w:val="none" w:sz="0" w:space="0" w:color="auto"/>
                                                                                                                                                                                                                                                                                                                                                <w:bottom w:val="none" w:sz="0" w:space="0" w:color="auto"/>
                                                                                                                                                                                                                                                                                                                                                <w:right w:val="none" w:sz="0" w:space="0" w:color="auto"/>
                                                                                                                                                                                                                                                                                                                                              </w:divBdr>
                                                                                                                                                                                                                                                                                                                                              <w:divsChild>
                                                                                                                                                                                                                                                                                                                                                <w:div w:id="2074886069">
                                                                                                                                                                                                                                                                                                                                                  <w:marLeft w:val="0"/>
                                                                                                                                                                                                                                                                                                                                                  <w:marRight w:val="0"/>
                                                                                                                                                                                                                                                                                                                                                  <w:marTop w:val="0"/>
                                                                                                                                                                                                                                                                                                                                                  <w:marBottom w:val="0"/>
                                                                                                                                                                                                                                                                                                                                                  <w:divBdr>
                                                                                                                                                                                                                                                                                                                                                    <w:top w:val="none" w:sz="0" w:space="0" w:color="auto"/>
                                                                                                                                                                                                                                                                                                                                                    <w:left w:val="none" w:sz="0" w:space="0" w:color="auto"/>
                                                                                                                                                                                                                                                                                                                                                    <w:bottom w:val="none" w:sz="0" w:space="0" w:color="auto"/>
                                                                                                                                                                                                                                                                                                                                                    <w:right w:val="none" w:sz="0" w:space="0" w:color="auto"/>
                                                                                                                                                                                                                                                                                                                                                  </w:divBdr>
                                                                                                                                                                                                                                                                                                                                                  <w:divsChild>
                                                                                                                                                                                                                                                                                                                                                    <w:div w:id="502939766">
                                                                                                                                                                                                                                                                                                                                                      <w:marLeft w:val="0"/>
                                                                                                                                                                                                                                                                                                                                                      <w:marRight w:val="0"/>
                                                                                                                                                                                                                                                                                                                                                      <w:marTop w:val="0"/>
                                                                                                                                                                                                                                                                                                                                                      <w:marBottom w:val="0"/>
                                                                                                                                                                                                                                                                                                                                                      <w:divBdr>
                                                                                                                                                                                                                                                                                                                                                        <w:top w:val="none" w:sz="0" w:space="0" w:color="auto"/>
                                                                                                                                                                                                                                                                                                                                                        <w:left w:val="none" w:sz="0" w:space="0" w:color="auto"/>
                                                                                                                                                                                                                                                                                                                                                        <w:bottom w:val="none" w:sz="0" w:space="0" w:color="auto"/>
                                                                                                                                                                                                                                                                                                                                                        <w:right w:val="none" w:sz="0" w:space="0" w:color="auto"/>
                                                                                                                                                                                                                                                                                                                                                      </w:divBdr>
                                                                                                                                                                                                                                                                                                                                                      <w:divsChild>
                                                                                                                                                                                                                                                                                                                                                        <w:div w:id="707753318">
                                                                                                                                                                                                                                                                                                                                                          <w:marLeft w:val="0"/>
                                                                                                                                                                                                                                                                                                                                                          <w:marRight w:val="0"/>
                                                                                                                                                                                                                                                                                                                                                          <w:marTop w:val="0"/>
                                                                                                                                                                                                                                                                                                                                                          <w:marBottom w:val="0"/>
                                                                                                                                                                                                                                                                                                                                                          <w:divBdr>
                                                                                                                                                                                                                                                                                                                                                            <w:top w:val="none" w:sz="0" w:space="0" w:color="auto"/>
                                                                                                                                                                                                                                                                                                                                                            <w:left w:val="none" w:sz="0" w:space="0" w:color="auto"/>
                                                                                                                                                                                                                                                                                                                                                            <w:bottom w:val="none" w:sz="0" w:space="0" w:color="auto"/>
                                                                                                                                                                                                                                                                                                                                                            <w:right w:val="none" w:sz="0" w:space="0" w:color="auto"/>
                                                                                                                                                                                                                                                                                                                                                          </w:divBdr>
                                                                                                                                                                                                                                                                                                                                                          <w:divsChild>
                                                                                                                                                                                                                                                                                                                                                            <w:div w:id="2021351859">
                                                                                                                                                                                                                                                                                                                                                              <w:marLeft w:val="0"/>
                                                                                                                                                                                                                                                                                                                                                              <w:marRight w:val="0"/>
                                                                                                                                                                                                                                                                                                                                                              <w:marTop w:val="0"/>
                                                                                                                                                                                                                                                                                                                                                              <w:marBottom w:val="0"/>
                                                                                                                                                                                                                                                                                                                                                              <w:divBdr>
                                                                                                                                                                                                                                                                                                                                                                <w:top w:val="none" w:sz="0" w:space="0" w:color="auto"/>
                                                                                                                                                                                                                                                                                                                                                                <w:left w:val="none" w:sz="0" w:space="0" w:color="auto"/>
                                                                                                                                                                                                                                                                                                                                                                <w:bottom w:val="none" w:sz="0" w:space="0" w:color="auto"/>
                                                                                                                                                                                                                                                                                                                                                                <w:right w:val="none" w:sz="0" w:space="0" w:color="auto"/>
                                                                                                                                                                                                                                                                                                                                                              </w:divBdr>
                                                                                                                                                                                                                                                                                                                                                              <w:divsChild>
                                                                                                                                                                                                                                                                                                                                                                <w:div w:id="816648203">
                                                                                                                                                                                                                                                                                                                                                                  <w:marLeft w:val="0"/>
                                                                                                                                                                                                                                                                                                                                                                  <w:marRight w:val="0"/>
                                                                                                                                                                                                                                                                                                                                                                  <w:marTop w:val="0"/>
                                                                                                                                                                                                                                                                                                                                                                  <w:marBottom w:val="0"/>
                                                                                                                                                                                                                                                                                                                                                                  <w:divBdr>
                                                                                                                                                                                                                                                                                                                                                                    <w:top w:val="none" w:sz="0" w:space="0" w:color="auto"/>
                                                                                                                                                                                                                                                                                                                                                                    <w:left w:val="none" w:sz="0" w:space="0" w:color="auto"/>
                                                                                                                                                                                                                                                                                                                                                                    <w:bottom w:val="none" w:sz="0" w:space="0" w:color="auto"/>
                                                                                                                                                                                                                                                                                                                                                                    <w:right w:val="none" w:sz="0" w:space="0" w:color="auto"/>
                                                                                                                                                                                                                                                                                                                                                                  </w:divBdr>
                                                                                                                                                                                                                                                                                                                                                                  <w:divsChild>
                                                                                                                                                                                                                                                                                                                                                                    <w:div w:id="626591470">
                                                                                                                                                                                                                                                                                                                                                                      <w:marLeft w:val="0"/>
                                                                                                                                                                                                                                                                                                                                                                      <w:marRight w:val="0"/>
                                                                                                                                                                                                                                                                                                                                                                      <w:marTop w:val="0"/>
                                                                                                                                                                                                                                                                                                                                                                      <w:marBottom w:val="0"/>
                                                                                                                                                                                                                                                                                                                                                                      <w:divBdr>
                                                                                                                                                                                                                                                                                                                                                                        <w:top w:val="none" w:sz="0" w:space="0" w:color="auto"/>
                                                                                                                                                                                                                                                                                                                                                                        <w:left w:val="none" w:sz="0" w:space="0" w:color="auto"/>
                                                                                                                                                                                                                                                                                                                                                                        <w:bottom w:val="none" w:sz="0" w:space="0" w:color="auto"/>
                                                                                                                                                                                                                                                                                                                                                                        <w:right w:val="none" w:sz="0" w:space="0" w:color="auto"/>
                                                                                                                                                                                                                                                                                                                                                                      </w:divBdr>
                                                                                                                                                                                                                                                                                                                                                                      <w:divsChild>
                                                                                                                                                                                                                                                                                                                                                                        <w:div w:id="491288819">
                                                                                                                                                                                                                                                                                                                                                                          <w:marLeft w:val="0"/>
                                                                                                                                                                                                                                                                                                                                                                          <w:marRight w:val="0"/>
                                                                                                                                                                                                                                                                                                                                                                          <w:marTop w:val="0"/>
                                                                                                                                                                                                                                                                                                                                                                          <w:marBottom w:val="0"/>
                                                                                                                                                                                                                                                                                                                                                                          <w:divBdr>
                                                                                                                                                                                                                                                                                                                                                                            <w:top w:val="none" w:sz="0" w:space="0" w:color="auto"/>
                                                                                                                                                                                                                                                                                                                                                                            <w:left w:val="none" w:sz="0" w:space="0" w:color="auto"/>
                                                                                                                                                                                                                                                                                                                                                                            <w:bottom w:val="none" w:sz="0" w:space="0" w:color="auto"/>
                                                                                                                                                                                                                                                                                                                                                                            <w:right w:val="none" w:sz="0" w:space="0" w:color="auto"/>
                                                                                                                                                                                                                                                                                                                                                                          </w:divBdr>
                                                                                                                                                                                                                                                                                                                                                                          <w:divsChild>
                                                                                                                                                                                                                                                                                                                                                                            <w:div w:id="165247524">
                                                                                                                                                                                                                                                                                                                                                                              <w:marLeft w:val="0"/>
                                                                                                                                                                                                                                                                                                                                                                              <w:marRight w:val="0"/>
                                                                                                                                                                                                                                                                                                                                                                              <w:marTop w:val="0"/>
                                                                                                                                                                                                                                                                                                                                                                              <w:marBottom w:val="0"/>
                                                                                                                                                                                                                                                                                                                                                                              <w:divBdr>
                                                                                                                                                                                                                                                                                                                                                                                <w:top w:val="none" w:sz="0" w:space="0" w:color="auto"/>
                                                                                                                                                                                                                                                                                                                                                                                <w:left w:val="none" w:sz="0" w:space="0" w:color="auto"/>
                                                                                                                                                                                                                                                                                                                                                                                <w:bottom w:val="none" w:sz="0" w:space="0" w:color="auto"/>
                                                                                                                                                                                                                                                                                                                                                                                <w:right w:val="none" w:sz="0" w:space="0" w:color="auto"/>
                                                                                                                                                                                                                                                                                                                                                                              </w:divBdr>
                                                                                                                                                                                                                                                                                                                                                                              <w:divsChild>
                                                                                                                                                                                                                                                                                                                                                                                <w:div w:id="1883713388">
                                                                                                                                                                                                                                                                                                                                                                                  <w:marLeft w:val="0"/>
                                                                                                                                                                                                                                                                                                                                                                                  <w:marRight w:val="0"/>
                                                                                                                                                                                                                                                                                                                                                                                  <w:marTop w:val="0"/>
                                                                                                                                                                                                                                                                                                                                                                                  <w:marBottom w:val="0"/>
                                                                                                                                                                                                                                                                                                                                                                                  <w:divBdr>
                                                                                                                                                                                                                                                                                                                                                                                    <w:top w:val="none" w:sz="0" w:space="0" w:color="auto"/>
                                                                                                                                                                                                                                                                                                                                                                                    <w:left w:val="none" w:sz="0" w:space="0" w:color="auto"/>
                                                                                                                                                                                                                                                                                                                                                                                    <w:bottom w:val="none" w:sz="0" w:space="0" w:color="auto"/>
                                                                                                                                                                                                                                                                                                                                                                                    <w:right w:val="none" w:sz="0" w:space="0" w:color="auto"/>
                                                                                                                                                                                                                                                                                                                                                                                  </w:divBdr>
                                                                                                                                                                                                                                                                                                                                                                                  <w:divsChild>
                                                                                                                                                                                                                                                                                                                                                                                    <w:div w:id="521941895">
                                                                                                                                                                                                                                                                                                                                                                                      <w:marLeft w:val="0"/>
                                                                                                                                                                                                                                                                                                                                                                                      <w:marRight w:val="0"/>
                                                                                                                                                                                                                                                                                                                                                                                      <w:marTop w:val="0"/>
                                                                                                                                                                                                                                                                                                                                                                                      <w:marBottom w:val="0"/>
                                                                                                                                                                                                                                                                                                                                                                                      <w:divBdr>
                                                                                                                                                                                                                                                                                                                                                                                        <w:top w:val="none" w:sz="0" w:space="0" w:color="auto"/>
                                                                                                                                                                                                                                                                                                                                                                                        <w:left w:val="none" w:sz="0" w:space="0" w:color="auto"/>
                                                                                                                                                                                                                                                                                                                                                                                        <w:bottom w:val="none" w:sz="0" w:space="0" w:color="auto"/>
                                                                                                                                                                                                                                                                                                                                                                                        <w:right w:val="none" w:sz="0" w:space="0" w:color="auto"/>
                                                                                                                                                                                                                                                                                                                                                                                      </w:divBdr>
                                                                                                                                                                                                                                                                                                                                                                                      <w:divsChild>
                                                                                                                                                                                                                                                                                                                                                                                        <w:div w:id="182520737">
                                                                                                                                                                                                                                                                                                                                                                                          <w:marLeft w:val="0"/>
                                                                                                                                                                                                                                                                                                                                                                                          <w:marRight w:val="0"/>
                                                                                                                                                                                                                                                                                                                                                                                          <w:marTop w:val="0"/>
                                                                                                                                                                                                                                                                                                                                                                                          <w:marBottom w:val="0"/>
                                                                                                                                                                                                                                                                                                                                                                                          <w:divBdr>
                                                                                                                                                                                                                                                                                                                                                                                            <w:top w:val="none" w:sz="0" w:space="0" w:color="auto"/>
                                                                                                                                                                                                                                                                                                                                                                                            <w:left w:val="none" w:sz="0" w:space="0" w:color="auto"/>
                                                                                                                                                                                                                                                                                                                                                                                            <w:bottom w:val="none" w:sz="0" w:space="0" w:color="auto"/>
                                                                                                                                                                                                                                                                                                                                                                                            <w:right w:val="none" w:sz="0" w:space="0" w:color="auto"/>
                                                                                                                                                                                                                                                                                                                                                                                          </w:divBdr>
                                                                                                                                                                                                                                                                                                                                                                                          <w:divsChild>
                                                                                                                                                                                                                                                                                                                                                                                            <w:div w:id="423498739">
                                                                                                                                                                                                                                                                                                                                                                                              <w:marLeft w:val="0"/>
                                                                                                                                                                                                                                                                                                                                                                                              <w:marRight w:val="0"/>
                                                                                                                                                                                                                                                                                                                                                                                              <w:marTop w:val="0"/>
                                                                                                                                                                                                                                                                                                                                                                                              <w:marBottom w:val="0"/>
                                                                                                                                                                                                                                                                                                                                                                                              <w:divBdr>
                                                                                                                                                                                                                                                                                                                                                                                                <w:top w:val="none" w:sz="0" w:space="0" w:color="auto"/>
                                                                                                                                                                                                                                                                                                                                                                                                <w:left w:val="none" w:sz="0" w:space="0" w:color="auto"/>
                                                                                                                                                                                                                                                                                                                                                                                                <w:bottom w:val="none" w:sz="0" w:space="0" w:color="auto"/>
                                                                                                                                                                                                                                                                                                                                                                                                <w:right w:val="none" w:sz="0" w:space="0" w:color="auto"/>
                                                                                                                                                                                                                                                                                                                                                                                              </w:divBdr>
                                                                                                                                                                                                                                                                                                                                                                                              <w:divsChild>
                                                                                                                                                                                                                                                                                                                                                                                                <w:div w:id="94331415">
                                                                                                                                                                                                                                                                                                                                                                                                  <w:marLeft w:val="0"/>
                                                                                                                                                                                                                                                                                                                                                                                                  <w:marRight w:val="0"/>
                                                                                                                                                                                                                                                                                                                                                                                                  <w:marTop w:val="0"/>
                                                                                                                                                                                                                                                                                                                                                                                                  <w:marBottom w:val="0"/>
                                                                                                                                                                                                                                                                                                                                                                                                  <w:divBdr>
                                                                                                                                                                                                                                                                                                                                                                                                    <w:top w:val="none" w:sz="0" w:space="0" w:color="auto"/>
                                                                                                                                                                                                                                                                                                                                                                                                    <w:left w:val="none" w:sz="0" w:space="0" w:color="auto"/>
                                                                                                                                                                                                                                                                                                                                                                                                    <w:bottom w:val="none" w:sz="0" w:space="0" w:color="auto"/>
                                                                                                                                                                                                                                                                                                                                                                                                    <w:right w:val="none" w:sz="0" w:space="0" w:color="auto"/>
                                                                                                                                                                                                                                                                                                                                                                                                  </w:divBdr>
                                                                                                                                                                                                                                                                                                                                                                                                  <w:divsChild>
                                                                                                                                                                                                                                                                                                                                                                                                    <w:div w:id="1392968336">
                                                                                                                                                                                                                                                                                                                                                                                                      <w:marLeft w:val="0"/>
                                                                                                                                                                                                                                                                                                                                                                                                      <w:marRight w:val="0"/>
                                                                                                                                                                                                                                                                                                                                                                                                      <w:marTop w:val="0"/>
                                                                                                                                                                                                                                                                                                                                                                                                      <w:marBottom w:val="0"/>
                                                                                                                                                                                                                                                                                                                                                                                                      <w:divBdr>
                                                                                                                                                                                                                                                                                                                                                                                                        <w:top w:val="none" w:sz="0" w:space="0" w:color="auto"/>
                                                                                                                                                                                                                                                                                                                                                                                                        <w:left w:val="none" w:sz="0" w:space="0" w:color="auto"/>
                                                                                                                                                                                                                                                                                                                                                                                                        <w:bottom w:val="none" w:sz="0" w:space="0" w:color="auto"/>
                                                                                                                                                                                                                                                                                                                                                                                                        <w:right w:val="none" w:sz="0" w:space="0" w:color="auto"/>
                                                                                                                                                                                                                                                                                                                                                                                                      </w:divBdr>
                                                                                                                                                                                                                                                                                                                                                                                                      <w:divsChild>
                                                                                                                                                                                                                                                                                                                                                                                                        <w:div w:id="1682509787">
                                                                                                                                                                                                                                                                                                                                                                                                          <w:marLeft w:val="0"/>
                                                                                                                                                                                                                                                                                                                                                                                                          <w:marRight w:val="0"/>
                                                                                                                                                                                                                                                                                                                                                                                                          <w:marTop w:val="0"/>
                                                                                                                                                                                                                                                                                                                                                                                                          <w:marBottom w:val="0"/>
                                                                                                                                                                                                                                                                                                                                                                                                          <w:divBdr>
                                                                                                                                                                                                                                                                                                                                                                                                            <w:top w:val="none" w:sz="0" w:space="0" w:color="auto"/>
                                                                                                                                                                                                                                                                                                                                                                                                            <w:left w:val="none" w:sz="0" w:space="0" w:color="auto"/>
                                                                                                                                                                                                                                                                                                                                                                                                            <w:bottom w:val="none" w:sz="0" w:space="0" w:color="auto"/>
                                                                                                                                                                                                                                                                                                                                                                                                            <w:right w:val="none" w:sz="0" w:space="0" w:color="auto"/>
                                                                                                                                                                                                                                                                                                                                                                                                          </w:divBdr>
                                                                                                                                                                                                                                                                                                                                                                                                          <w:divsChild>
                                                                                                                                                                                                                                                                                                                                                                                                            <w:div w:id="626011974">
                                                                                                                                                                                                                                                                                                                                                                                                              <w:marLeft w:val="0"/>
                                                                                                                                                                                                                                                                                                                                                                                                              <w:marRight w:val="0"/>
                                                                                                                                                                                                                                                                                                                                                                                                              <w:marTop w:val="0"/>
                                                                                                                                                                                                                                                                                                                                                                                                              <w:marBottom w:val="0"/>
                                                                                                                                                                                                                                                                                                                                                                                                              <w:divBdr>
                                                                                                                                                                                                                                                                                                                                                                                                                <w:top w:val="none" w:sz="0" w:space="0" w:color="auto"/>
                                                                                                                                                                                                                                                                                                                                                                                                                <w:left w:val="none" w:sz="0" w:space="0" w:color="auto"/>
                                                                                                                                                                                                                                                                                                                                                                                                                <w:bottom w:val="none" w:sz="0" w:space="0" w:color="auto"/>
                                                                                                                                                                                                                                                                                                                                                                                                                <w:right w:val="none" w:sz="0" w:space="0" w:color="auto"/>
                                                                                                                                                                                                                                                                                                                                                                                                              </w:divBdr>
                                                                                                                                                                                                                                                                                                                                                                                                              <w:divsChild>
                                                                                                                                                                                                                                                                                                                                                                                                                <w:div w:id="2075078495">
                                                                                                                                                                                                                                                                                                                                                                                                                  <w:marLeft w:val="0"/>
                                                                                                                                                                                                                                                                                                                                                                                                                  <w:marRight w:val="0"/>
                                                                                                                                                                                                                                                                                                                                                                                                                  <w:marTop w:val="0"/>
                                                                                                                                                                                                                                                                                                                                                                                                                  <w:marBottom w:val="0"/>
                                                                                                                                                                                                                                                                                                                                                                                                                  <w:divBdr>
                                                                                                                                                                                                                                                                                                                                                                                                                    <w:top w:val="none" w:sz="0" w:space="0" w:color="auto"/>
                                                                                                                                                                                                                                                                                                                                                                                                                    <w:left w:val="none" w:sz="0" w:space="0" w:color="auto"/>
                                                                                                                                                                                                                                                                                                                                                                                                                    <w:bottom w:val="none" w:sz="0" w:space="0" w:color="auto"/>
                                                                                                                                                                                                                                                                                                                                                                                                                    <w:right w:val="none" w:sz="0" w:space="0" w:color="auto"/>
                                                                                                                                                                                                                                                                                                                                                                                                                  </w:divBdr>
                                                                                                                                                                                                                                                                                                                                                                                                                  <w:divsChild>
                                                                                                                                                                                                                                                                                                                                                                                                                    <w:div w:id="27488790">
                                                                                                                                                                                                                                                                                                                                                                                                                      <w:marLeft w:val="0"/>
                                                                                                                                                                                                                                                                                                                                                                                                                      <w:marRight w:val="0"/>
                                                                                                                                                                                                                                                                                                                                                                                                                      <w:marTop w:val="0"/>
                                                                                                                                                                                                                                                                                                                                                                                                                      <w:marBottom w:val="0"/>
                                                                                                                                                                                                                                                                                                                                                                                                                      <w:divBdr>
                                                                                                                                                                                                                                                                                                                                                                                                                        <w:top w:val="none" w:sz="0" w:space="0" w:color="auto"/>
                                                                                                                                                                                                                                                                                                                                                                                                                        <w:left w:val="none" w:sz="0" w:space="0" w:color="auto"/>
                                                                                                                                                                                                                                                                                                                                                                                                                        <w:bottom w:val="none" w:sz="0" w:space="0" w:color="auto"/>
                                                                                                                                                                                                                                                                                                                                                                                                                        <w:right w:val="none" w:sz="0" w:space="0" w:color="auto"/>
                                                                                                                                                                                                                                                                                                                                                                                                                      </w:divBdr>
                                                                                                                                                                                                                                                                                                                                                                                                                      <w:divsChild>
                                                                                                                                                                                                                                                                                                                                                                                                                        <w:div w:id="859902326">
                                                                                                                                                                                                                                                                                                                                                                                                                          <w:marLeft w:val="0"/>
                                                                                                                                                                                                                                                                                                                                                                                                                          <w:marRight w:val="0"/>
                                                                                                                                                                                                                                                                                                                                                                                                                          <w:marTop w:val="0"/>
                                                                                                                                                                                                                                                                                                                                                                                                                          <w:marBottom w:val="0"/>
                                                                                                                                                                                                                                                                                                                                                                                                                          <w:divBdr>
                                                                                                                                                                                                                                                                                                                                                                                                                            <w:top w:val="none" w:sz="0" w:space="0" w:color="auto"/>
                                                                                                                                                                                                                                                                                                                                                                                                                            <w:left w:val="none" w:sz="0" w:space="0" w:color="auto"/>
                                                                                                                                                                                                                                                                                                                                                                                                                            <w:bottom w:val="none" w:sz="0" w:space="0" w:color="auto"/>
                                                                                                                                                                                                                                                                                                                                                                                                                            <w:right w:val="none" w:sz="0" w:space="0" w:color="auto"/>
                                                                                                                                                                                                                                                                                                                                                                                                                          </w:divBdr>
                                                                                                                                                                                                                                                                                                                                                                                                                          <w:divsChild>
                                                                                                                                                                                                                                                                                                                                                                                                                            <w:div w:id="1695959974">
                                                                                                                                                                                                                                                                                                                                                                                                                              <w:marLeft w:val="0"/>
                                                                                                                                                                                                                                                                                                                                                                                                                              <w:marRight w:val="0"/>
                                                                                                                                                                                                                                                                                                                                                                                                                              <w:marTop w:val="0"/>
                                                                                                                                                                                                                                                                                                                                                                                                                              <w:marBottom w:val="0"/>
                                                                                                                                                                                                                                                                                                                                                                                                                              <w:divBdr>
                                                                                                                                                                                                                                                                                                                                                                                                                                <w:top w:val="none" w:sz="0" w:space="0" w:color="auto"/>
                                                                                                                                                                                                                                                                                                                                                                                                                                <w:left w:val="none" w:sz="0" w:space="0" w:color="auto"/>
                                                                                                                                                                                                                                                                                                                                                                                                                                <w:bottom w:val="none" w:sz="0" w:space="0" w:color="auto"/>
                                                                                                                                                                                                                                                                                                                                                                                                                                <w:right w:val="none" w:sz="0" w:space="0" w:color="auto"/>
                                                                                                                                                                                                                                                                                                                                                                                                                              </w:divBdr>
                                                                                                                                                                                                                                                                                                                                                                                                                              <w:divsChild>
                                                                                                                                                                                                                                                                                                                                                                                                                                <w:div w:id="986860437">
                                                                                                                                                                                                                                                                                                                                                                                                                                  <w:marLeft w:val="0"/>
                                                                                                                                                                                                                                                                                                                                                                                                                                  <w:marRight w:val="0"/>
                                                                                                                                                                                                                                                                                                                                                                                                                                  <w:marTop w:val="0"/>
                                                                                                                                                                                                                                                                                                                                                                                                                                  <w:marBottom w:val="0"/>
                                                                                                                                                                                                                                                                                                                                                                                                                                  <w:divBdr>
                                                                                                                                                                                                                                                                                                                                                                                                                                    <w:top w:val="none" w:sz="0" w:space="0" w:color="auto"/>
                                                                                                                                                                                                                                                                                                                                                                                                                                    <w:left w:val="none" w:sz="0" w:space="0" w:color="auto"/>
                                                                                                                                                                                                                                                                                                                                                                                                                                    <w:bottom w:val="none" w:sz="0" w:space="0" w:color="auto"/>
                                                                                                                                                                                                                                                                                                                                                                                                                                    <w:right w:val="none" w:sz="0" w:space="0" w:color="auto"/>
                                                                                                                                                                                                                                                                                                                                                                                                                                  </w:divBdr>
                                                                                                                                                                                                                                                                                                                                                                                                                                  <w:divsChild>
                                                                                                                                                                                                                                                                                                                                                                                                                                    <w:div w:id="1972906086">
                                                                                                                                                                                                                                                                                                                                                                                                                                      <w:marLeft w:val="0"/>
                                                                                                                                                                                                                                                                                                                                                                                                                                      <w:marRight w:val="0"/>
                                                                                                                                                                                                                                                                                                                                                                                                                                      <w:marTop w:val="0"/>
                                                                                                                                                                                                                                                                                                                                                                                                                                      <w:marBottom w:val="0"/>
                                                                                                                                                                                                                                                                                                                                                                                                                                      <w:divBdr>
                                                                                                                                                                                                                                                                                                                                                                                                                                        <w:top w:val="none" w:sz="0" w:space="0" w:color="auto"/>
                                                                                                                                                                                                                                                                                                                                                                                                                                        <w:left w:val="none" w:sz="0" w:space="0" w:color="auto"/>
                                                                                                                                                                                                                                                                                                                                                                                                                                        <w:bottom w:val="none" w:sz="0" w:space="0" w:color="auto"/>
                                                                                                                                                                                                                                                                                                                                                                                                                                        <w:right w:val="none" w:sz="0" w:space="0" w:color="auto"/>
                                                                                                                                                                                                                                                                                                                                                                                                                                      </w:divBdr>
                                                                                                                                                                                                                                                                                                                                                                                                                                      <w:divsChild>
                                                                                                                                                                                                                                                                                                                                                                                                                                        <w:div w:id="1935238443">
                                                                                                                                                                                                                                                                                                                                                                                                                                          <w:marLeft w:val="0"/>
                                                                                                                                                                                                                                                                                                                                                                                                                                          <w:marRight w:val="0"/>
                                                                                                                                                                                                                                                                                                                                                                                                                                          <w:marTop w:val="0"/>
                                                                                                                                                                                                                                                                                                                                                                                                                                          <w:marBottom w:val="0"/>
                                                                                                                                                                                                                                                                                                                                                                                                                                          <w:divBdr>
                                                                                                                                                                                                                                                                                                                                                                                                                                            <w:top w:val="none" w:sz="0" w:space="0" w:color="auto"/>
                                                                                                                                                                                                                                                                                                                                                                                                                                            <w:left w:val="none" w:sz="0" w:space="0" w:color="auto"/>
                                                                                                                                                                                                                                                                                                                                                                                                                                            <w:bottom w:val="none" w:sz="0" w:space="0" w:color="auto"/>
                                                                                                                                                                                                                                                                                                                                                                                                                                            <w:right w:val="none" w:sz="0" w:space="0" w:color="auto"/>
                                                                                                                                                                                                                                                                                                                                                                                                                                          </w:divBdr>
                                                                                                                                                                                                                                                                                                                                                                                                                                          <w:divsChild>
                                                                                                                                                                                                                                                                                                                                                                                                                                            <w:div w:id="1431470006">
                                                                                                                                                                                                                                                                                                                                                                                                                                              <w:marLeft w:val="0"/>
                                                                                                                                                                                                                                                                                                                                                                                                                                              <w:marRight w:val="0"/>
                                                                                                                                                                                                                                                                                                                                                                                                                                              <w:marTop w:val="0"/>
                                                                                                                                                                                                                                                                                                                                                                                                                                              <w:marBottom w:val="0"/>
                                                                                                                                                                                                                                                                                                                                                                                                                                              <w:divBdr>
                                                                                                                                                                                                                                                                                                                                                                                                                                                <w:top w:val="none" w:sz="0" w:space="0" w:color="auto"/>
                                                                                                                                                                                                                                                                                                                                                                                                                                                <w:left w:val="none" w:sz="0" w:space="0" w:color="auto"/>
                                                                                                                                                                                                                                                                                                                                                                                                                                                <w:bottom w:val="none" w:sz="0" w:space="0" w:color="auto"/>
                                                                                                                                                                                                                                                                                                                                                                                                                                                <w:right w:val="none" w:sz="0" w:space="0" w:color="auto"/>
                                                                                                                                                                                                                                                                                                                                                                                                                                              </w:divBdr>
                                                                                                                                                                                                                                                                                                                                                                                                                                              <w:divsChild>
                                                                                                                                                                                                                                                                                                                                                                                                                                                <w:div w:id="1354112290">
                                                                                                                                                                                                                                                                                                                                                                                                                                                  <w:marLeft w:val="0"/>
                                                                                                                                                                                                                                                                                                                                                                                                                                                  <w:marRight w:val="0"/>
                                                                                                                                                                                                                                                                                                                                                                                                                                                  <w:marTop w:val="0"/>
                                                                                                                                                                                                                                                                                                                                                                                                                                                  <w:marBottom w:val="0"/>
                                                                                                                                                                                                                                                                                                                                                                                                                                                  <w:divBdr>
                                                                                                                                                                                                                                                                                                                                                                                                                                                    <w:top w:val="none" w:sz="0" w:space="0" w:color="auto"/>
                                                                                                                                                                                                                                                                                                                                                                                                                                                    <w:left w:val="none" w:sz="0" w:space="0" w:color="auto"/>
                                                                                                                                                                                                                                                                                                                                                                                                                                                    <w:bottom w:val="none" w:sz="0" w:space="0" w:color="auto"/>
                                                                                                                                                                                                                                                                                                                                                                                                                                                    <w:right w:val="none" w:sz="0" w:space="0" w:color="auto"/>
                                                                                                                                                                                                                                                                                                                                                                                                                                                  </w:divBdr>
                                                                                                                                                                                                                                                                                                                                                                                                                                                  <w:divsChild>
                                                                                                                                                                                                                                                                                                                                                                                                                                                    <w:div w:id="527648197">
                                                                                                                                                                                                                                                                                                                                                                                                                                                      <w:marLeft w:val="0"/>
                                                                                                                                                                                                                                                                                                                                                                                                                                                      <w:marRight w:val="0"/>
                                                                                                                                                                                                                                                                                                                                                                                                                                                      <w:marTop w:val="0"/>
                                                                                                                                                                                                                                                                                                                                                                                                                                                      <w:marBottom w:val="0"/>
                                                                                                                                                                                                                                                                                                                                                                                                                                                      <w:divBdr>
                                                                                                                                                                                                                                                                                                                                                                                                                                                        <w:top w:val="none" w:sz="0" w:space="0" w:color="auto"/>
                                                                                                                                                                                                                                                                                                                                                                                                                                                        <w:left w:val="none" w:sz="0" w:space="0" w:color="auto"/>
                                                                                                                                                                                                                                                                                                                                                                                                                                                        <w:bottom w:val="none" w:sz="0" w:space="0" w:color="auto"/>
                                                                                                                                                                                                                                                                                                                                                                                                                                                        <w:right w:val="none" w:sz="0" w:space="0" w:color="auto"/>
                                                                                                                                                                                                                                                                                                                                                                                                                                                      </w:divBdr>
                                                                                                                                                                                                                                                                                                                                                                                                                                                      <w:divsChild>
                                                                                                                                                                                                                                                                                                                                                                                                                                                        <w:div w:id="1440180322">
                                                                                                                                                                                                                                                                                                                                                                                                                                                          <w:marLeft w:val="0"/>
                                                                                                                                                                                                                                                                                                                                                                                                                                                          <w:marRight w:val="0"/>
                                                                                                                                                                                                                                                                                                                                                                                                                                                          <w:marTop w:val="0"/>
                                                                                                                                                                                                                                                                                                                                                                                                                                                          <w:marBottom w:val="0"/>
                                                                                                                                                                                                                                                                                                                                                                                                                                                          <w:divBdr>
                                                                                                                                                                                                                                                                                                                                                                                                                                                            <w:top w:val="none" w:sz="0" w:space="0" w:color="auto"/>
                                                                                                                                                                                                                                                                                                                                                                                                                                                            <w:left w:val="none" w:sz="0" w:space="0" w:color="auto"/>
                                                                                                                                                                                                                                                                                                                                                                                                                                                            <w:bottom w:val="none" w:sz="0" w:space="0" w:color="auto"/>
                                                                                                                                                                                                                                                                                                                                                                                                                                                            <w:right w:val="none" w:sz="0" w:space="0" w:color="auto"/>
                                                                                                                                                                                                                                                                                                                                                                                                                                                          </w:divBdr>
                                                                                                                                                                                                                                                                                                                                                                                                                                                          <w:divsChild>
                                                                                                                                                                                                                                                                                                                                                                                                                                                            <w:div w:id="1546598398">
                                                                                                                                                                                                                                                                                                                                                                                                                                                              <w:marLeft w:val="0"/>
                                                                                                                                                                                                                                                                                                                                                                                                                                                              <w:marRight w:val="0"/>
                                                                                                                                                                                                                                                                                                                                                                                                                                                              <w:marTop w:val="0"/>
                                                                                                                                                                                                                                                                                                                                                                                                                                                              <w:marBottom w:val="0"/>
                                                                                                                                                                                                                                                                                                                                                                                                                                                              <w:divBdr>
                                                                                                                                                                                                                                                                                                                                                                                                                                                                <w:top w:val="none" w:sz="0" w:space="0" w:color="auto"/>
                                                                                                                                                                                                                                                                                                                                                                                                                                                                <w:left w:val="none" w:sz="0" w:space="0" w:color="auto"/>
                                                                                                                                                                                                                                                                                                                                                                                                                                                                <w:bottom w:val="none" w:sz="0" w:space="0" w:color="auto"/>
                                                                                                                                                                                                                                                                                                                                                                                                                                                                <w:right w:val="none" w:sz="0" w:space="0" w:color="auto"/>
                                                                                                                                                                                                                                                                                                                                                                                                                                                              </w:divBdr>
                                                                                                                                                                                                                                                                                                                                                                                                                                                              <w:divsChild>
                                                                                                                                                                                                                                                                                                                                                                                                                                                                <w:div w:id="1453551404">
                                                                                                                                                                                                                                                                                                                                                                                                                                                                  <w:marLeft w:val="0"/>
                                                                                                                                                                                                                                                                                                                                                                                                                                                                  <w:marRight w:val="0"/>
                                                                                                                                                                                                                                                                                                                                                                                                                                                                  <w:marTop w:val="0"/>
                                                                                                                                                                                                                                                                                                                                                                                                                                                                  <w:marBottom w:val="0"/>
                                                                                                                                                                                                                                                                                                                                                                                                                                                                  <w:divBdr>
                                                                                                                                                                                                                                                                                                                                                                                                                                                                    <w:top w:val="none" w:sz="0" w:space="0" w:color="auto"/>
                                                                                                                                                                                                                                                                                                                                                                                                                                                                    <w:left w:val="none" w:sz="0" w:space="0" w:color="auto"/>
                                                                                                                                                                                                                                                                                                                                                                                                                                                                    <w:bottom w:val="none" w:sz="0" w:space="0" w:color="auto"/>
                                                                                                                                                                                                                                                                                                                                                                                                                                                                    <w:right w:val="none" w:sz="0" w:space="0" w:color="auto"/>
                                                                                                                                                                                                                                                                                                                                                                                                                                                                  </w:divBdr>
                                                                                                                                                                                                                                                                                                                                                                                                                                                                  <w:divsChild>
                                                                                                                                                                                                                                                                                                                                                                                                                                                                    <w:div w:id="1961111598">
                                                                                                                                                                                                                                                                                                                                                                                                                                                                      <w:marLeft w:val="0"/>
                                                                                                                                                                                                                                                                                                                                                                                                                                                                      <w:marRight w:val="0"/>
                                                                                                                                                                                                                                                                                                                                                                                                                                                                      <w:marTop w:val="0"/>
                                                                                                                                                                                                                                                                                                                                                                                                                                                                      <w:marBottom w:val="0"/>
                                                                                                                                                                                                                                                                                                                                                                                                                                                                      <w:divBdr>
                                                                                                                                                                                                                                                                                                                                                                                                                                                                        <w:top w:val="none" w:sz="0" w:space="0" w:color="auto"/>
                                                                                                                                                                                                                                                                                                                                                                                                                                                                        <w:left w:val="none" w:sz="0" w:space="0" w:color="auto"/>
                                                                                                                                                                                                                                                                                                                                                                                                                                                                        <w:bottom w:val="none" w:sz="0" w:space="0" w:color="auto"/>
                                                                                                                                                                                                                                                                                                                                                                                                                                                                        <w:right w:val="none" w:sz="0" w:space="0" w:color="auto"/>
                                                                                                                                                                                                                                                                                                                                                                                                                                                                      </w:divBdr>
                                                                                                                                                                                                                                                                                                                                                                                                                                                                      <w:divsChild>
                                                                                                                                                                                                                                                                                                                                                                                                                                                                        <w:div w:id="1195995324">
                                                                                                                                                                                                                                                                                                                                                                                                                                                                          <w:marLeft w:val="0"/>
                                                                                                                                                                                                                                                                                                                                                                                                                                                                          <w:marRight w:val="0"/>
                                                                                                                                                                                                                                                                                                                                                                                                                                                                          <w:marTop w:val="0"/>
                                                                                                                                                                                                                                                                                                                                                                                                                                                                          <w:marBottom w:val="0"/>
                                                                                                                                                                                                                                                                                                                                                                                                                                                                          <w:divBdr>
                                                                                                                                                                                                                                                                                                                                                                                                                                                                            <w:top w:val="none" w:sz="0" w:space="0" w:color="auto"/>
                                                                                                                                                                                                                                                                                                                                                                                                                                                                            <w:left w:val="none" w:sz="0" w:space="0" w:color="auto"/>
                                                                                                                                                                                                                                                                                                                                                                                                                                                                            <w:bottom w:val="none" w:sz="0" w:space="0" w:color="auto"/>
                                                                                                                                                                                                                                                                                                                                                                                                                                                                            <w:right w:val="none" w:sz="0" w:space="0" w:color="auto"/>
                                                                                                                                                                                                                                                                                                                                                                                                                                                                          </w:divBdr>
                                                                                                                                                                                                                                                                                                                                                                                                                                                                          <w:divsChild>
                                                                                                                                                                                                                                                                                                                                                                                                                                                                            <w:div w:id="323558192">
                                                                                                                                                                                                                                                                                                                                                                                                                                                                              <w:marLeft w:val="0"/>
                                                                                                                                                                                                                                                                                                                                                                                                                                                                              <w:marRight w:val="0"/>
                                                                                                                                                                                                                                                                                                                                                                                                                                                                              <w:marTop w:val="0"/>
                                                                                                                                                                                                                                                                                                                                                                                                                                                                              <w:marBottom w:val="0"/>
                                                                                                                                                                                                                                                                                                                                                                                                                                                                              <w:divBdr>
                                                                                                                                                                                                                                                                                                                                                                                                                                                                                <w:top w:val="none" w:sz="0" w:space="0" w:color="auto"/>
                                                                                                                                                                                                                                                                                                                                                                                                                                                                                <w:left w:val="none" w:sz="0" w:space="0" w:color="auto"/>
                                                                                                                                                                                                                                                                                                                                                                                                                                                                                <w:bottom w:val="none" w:sz="0" w:space="0" w:color="auto"/>
                                                                                                                                                                                                                                                                                                                                                                                                                                                                                <w:right w:val="none" w:sz="0" w:space="0" w:color="auto"/>
                                                                                                                                                                                                                                                                                                                                                                                                                                                                              </w:divBdr>
                                                                                                                                                                                                                                                                                                                                                                                                                                                                              <w:divsChild>
                                                                                                                                                                                                                                                                                                                                                                                                                                                                                <w:div w:id="2073431715">
                                                                                                                                                                                                                                                                                                                                                                                                                                                                                  <w:marLeft w:val="0"/>
                                                                                                                                                                                                                                                                                                                                                                                                                                                                                  <w:marRight w:val="0"/>
                                                                                                                                                                                                                                                                                                                                                                                                                                                                                  <w:marTop w:val="0"/>
                                                                                                                                                                                                                                                                                                                                                                                                                                                                                  <w:marBottom w:val="0"/>
                                                                                                                                                                                                                                                                                                                                                                                                                                                                                  <w:divBdr>
                                                                                                                                                                                                                                                                                                                                                                                                                                                                                    <w:top w:val="none" w:sz="0" w:space="0" w:color="auto"/>
                                                                                                                                                                                                                                                                                                                                                                                                                                                                                    <w:left w:val="none" w:sz="0" w:space="0" w:color="auto"/>
                                                                                                                                                                                                                                                                                                                                                                                                                                                                                    <w:bottom w:val="none" w:sz="0" w:space="0" w:color="auto"/>
                                                                                                                                                                                                                                                                                                                                                                                                                                                                                    <w:right w:val="none" w:sz="0" w:space="0" w:color="auto"/>
                                                                                                                                                                                                                                                                                                                                                                                                                                                                                  </w:divBdr>
                                                                                                                                                                                                                                                                                                                                                                                                                                                                                  <w:divsChild>
                                                                                                                                                                                                                                                                                                                                                                                                                                                                                    <w:div w:id="561018472">
                                                                                                                                                                                                                                                                                                                                                                                                                                                                                      <w:marLeft w:val="0"/>
                                                                                                                                                                                                                                                                                                                                                                                                                                                                                      <w:marRight w:val="0"/>
                                                                                                                                                                                                                                                                                                                                                                                                                                                                                      <w:marTop w:val="0"/>
                                                                                                                                                                                                                                                                                                                                                                                                                                                                                      <w:marBottom w:val="0"/>
                                                                                                                                                                                                                                                                                                                                                                                                                                                                                      <w:divBdr>
                                                                                                                                                                                                                                                                                                                                                                                                                                                                                        <w:top w:val="none" w:sz="0" w:space="0" w:color="auto"/>
                                                                                                                                                                                                                                                                                                                                                                                                                                                                                        <w:left w:val="none" w:sz="0" w:space="0" w:color="auto"/>
                                                                                                                                                                                                                                                                                                                                                                                                                                                                                        <w:bottom w:val="none" w:sz="0" w:space="0" w:color="auto"/>
                                                                                                                                                                                                                                                                                                                                                                                                                                                                                        <w:right w:val="none" w:sz="0" w:space="0" w:color="auto"/>
                                                                                                                                                                                                                                                                                                                                                                                                                                                                                      </w:divBdr>
                                                                                                                                                                                                                                                                                                                                                                                                                                                                                      <w:divsChild>
                                                                                                                                                                                                                                                                                                                                                                                                                                                                                        <w:div w:id="999578791">
                                                                                                                                                                                                                                                                                                                                                                                                                                                                                          <w:marLeft w:val="0"/>
                                                                                                                                                                                                                                                                                                                                                                                                                                                                                          <w:marRight w:val="0"/>
                                                                                                                                                                                                                                                                                                                                                                                                                                                                                          <w:marTop w:val="0"/>
                                                                                                                                                                                                                                                                                                                                                                                                                                                                                          <w:marBottom w:val="0"/>
                                                                                                                                                                                                                                                                                                                                                                                                                                                                                          <w:divBdr>
                                                                                                                                                                                                                                                                                                                                                                                                                                                                                            <w:top w:val="none" w:sz="0" w:space="0" w:color="auto"/>
                                                                                                                                                                                                                                                                                                                                                                                                                                                                                            <w:left w:val="none" w:sz="0" w:space="0" w:color="auto"/>
                                                                                                                                                                                                                                                                                                                                                                                                                                                                                            <w:bottom w:val="none" w:sz="0" w:space="0" w:color="auto"/>
                                                                                                                                                                                                                                                                                                                                                                                                                                                                                            <w:right w:val="none" w:sz="0" w:space="0" w:color="auto"/>
                                                                                                                                                                                                                                                                                                                                                                                                                                                                                          </w:divBdr>
                                                                                                                                                                                                                                                                                                                                                                                                                                                                                          <w:divsChild>
                                                                                                                                                                                                                                                                                                                                                                                                                                                                                            <w:div w:id="1839731984">
                                                                                                                                                                                                                                                                                                                                                                                                                                                                                              <w:marLeft w:val="0"/>
                                                                                                                                                                                                                                                                                                                                                                                                                                                                                              <w:marRight w:val="0"/>
                                                                                                                                                                                                                                                                                                                                                                                                                                                                                              <w:marTop w:val="0"/>
                                                                                                                                                                                                                                                                                                                                                                                                                                                                                              <w:marBottom w:val="0"/>
                                                                                                                                                                                                                                                                                                                                                                                                                                                                                              <w:divBdr>
                                                                                                                                                                                                                                                                                                                                                                                                                                                                                                <w:top w:val="none" w:sz="0" w:space="0" w:color="auto"/>
                                                                                                                                                                                                                                                                                                                                                                                                                                                                                                <w:left w:val="none" w:sz="0" w:space="0" w:color="auto"/>
                                                                                                                                                                                                                                                                                                                                                                                                                                                                                                <w:bottom w:val="none" w:sz="0" w:space="0" w:color="auto"/>
                                                                                                                                                                                                                                                                                                                                                                                                                                                                                                <w:right w:val="none" w:sz="0" w:space="0" w:color="auto"/>
                                                                                                                                                                                                                                                                                                                                                                                                                                                                                              </w:divBdr>
                                                                                                                                                                                                                                                                                                                                                                                                                                                                                              <w:divsChild>
                                                                                                                                                                                                                                                                                                                                                                                                                                                                                                <w:div w:id="964001212">
                                                                                                                                                                                                                                                                                                                                                                                                                                                                                                  <w:marLeft w:val="0"/>
                                                                                                                                                                                                                                                                                                                                                                                                                                                                                                  <w:marRight w:val="0"/>
                                                                                                                                                                                                                                                                                                                                                                                                                                                                                                  <w:marTop w:val="0"/>
                                                                                                                                                                                                                                                                                                                                                                                                                                                                                                  <w:marBottom w:val="0"/>
                                                                                                                                                                                                                                                                                                                                                                                                                                                                                                  <w:divBdr>
                                                                                                                                                                                                                                                                                                                                                                                                                                                                                                    <w:top w:val="none" w:sz="0" w:space="0" w:color="auto"/>
                                                                                                                                                                                                                                                                                                                                                                                                                                                                                                    <w:left w:val="none" w:sz="0" w:space="0" w:color="auto"/>
                                                                                                                                                                                                                                                                                                                                                                                                                                                                                                    <w:bottom w:val="none" w:sz="0" w:space="0" w:color="auto"/>
                                                                                                                                                                                                                                                                                                                                                                                                                                                                                                    <w:right w:val="none" w:sz="0" w:space="0" w:color="auto"/>
                                                                                                                                                                                                                                                                                                                                                                                                                                                                                                  </w:divBdr>
                                                                                                                                                                                                                                                                                                                                                                                                                                                                                                  <w:divsChild>
                                                                                                                                                                                                                                                                                                                                                                                                                                                                                                    <w:div w:id="1942376995">
                                                                                                                                                                                                                                                                                                                                                                                                                                                                                                      <w:marLeft w:val="0"/>
                                                                                                                                                                                                                                                                                                                                                                                                                                                                                                      <w:marRight w:val="0"/>
                                                                                                                                                                                                                                                                                                                                                                                                                                                                                                      <w:marTop w:val="0"/>
                                                                                                                                                                                                                                                                                                                                                                                                                                                                                                      <w:marBottom w:val="0"/>
                                                                                                                                                                                                                                                                                                                                                                                                                                                                                                      <w:divBdr>
                                                                                                                                                                                                                                                                                                                                                                                                                                                                                                        <w:top w:val="none" w:sz="0" w:space="0" w:color="auto"/>
                                                                                                                                                                                                                                                                                                                                                                                                                                                                                                        <w:left w:val="none" w:sz="0" w:space="0" w:color="auto"/>
                                                                                                                                                                                                                                                                                                                                                                                                                                                                                                        <w:bottom w:val="none" w:sz="0" w:space="0" w:color="auto"/>
                                                                                                                                                                                                                                                                                                                                                                                                                                                                                                        <w:right w:val="none" w:sz="0" w:space="0" w:color="auto"/>
                                                                                                                                                                                                                                                                                                                                                                                                                                                                                                      </w:divBdr>
                                                                                                                                                                                                                                                                                                                                                                                                                                                                                                      <w:divsChild>
                                                                                                                                                                                                                                                                                                                                                                                                                                                                                                        <w:div w:id="1489899543">
                                                                                                                                                                                                                                                                                                                                                                                                                                                                                                          <w:marLeft w:val="0"/>
                                                                                                                                                                                                                                                                                                                                                                                                                                                                                                          <w:marRight w:val="0"/>
                                                                                                                                                                                                                                                                                                                                                                                                                                                                                                          <w:marTop w:val="0"/>
                                                                                                                                                                                                                                                                                                                                                                                                                                                                                                          <w:marBottom w:val="0"/>
                                                                                                                                                                                                                                                                                                                                                                                                                                                                                                          <w:divBdr>
                                                                                                                                                                                                                                                                                                                                                                                                                                                                                                            <w:top w:val="none" w:sz="0" w:space="0" w:color="auto"/>
                                                                                                                                                                                                                                                                                                                                                                                                                                                                                                            <w:left w:val="none" w:sz="0" w:space="0" w:color="auto"/>
                                                                                                                                                                                                                                                                                                                                                                                                                                                                                                            <w:bottom w:val="none" w:sz="0" w:space="0" w:color="auto"/>
                                                                                                                                                                                                                                                                                                                                                                                                                                                                                                            <w:right w:val="none" w:sz="0" w:space="0" w:color="auto"/>
                                                                                                                                                                                                                                                                                                                                                                                                                                                                                                          </w:divBdr>
                                                                                                                                                                                                                                                                                                                                                                                                                                                                                                          <w:divsChild>
                                                                                                                                                                                                                                                                                                                                                                                                                                                                                                            <w:div w:id="891312001">
                                                                                                                                                                                                                                                                                                                                                                                                                                                                                                              <w:marLeft w:val="0"/>
                                                                                                                                                                                                                                                                                                                                                                                                                                                                                                              <w:marRight w:val="0"/>
                                                                                                                                                                                                                                                                                                                                                                                                                                                                                                              <w:marTop w:val="0"/>
                                                                                                                                                                                                                                                                                                                                                                                                                                                                                                              <w:marBottom w:val="0"/>
                                                                                                                                                                                                                                                                                                                                                                                                                                                                                                              <w:divBdr>
                                                                                                                                                                                                                                                                                                                                                                                                                                                                                                                <w:top w:val="none" w:sz="0" w:space="0" w:color="auto"/>
                                                                                                                                                                                                                                                                                                                                                                                                                                                                                                                <w:left w:val="none" w:sz="0" w:space="0" w:color="auto"/>
                                                                                                                                                                                                                                                                                                                                                                                                                                                                                                                <w:bottom w:val="none" w:sz="0" w:space="0" w:color="auto"/>
                                                                                                                                                                                                                                                                                                                                                                                                                                                                                                                <w:right w:val="none" w:sz="0" w:space="0" w:color="auto"/>
                                                                                                                                                                                                                                                                                                                                                                                                                                                                                                              </w:divBdr>
                                                                                                                                                                                                                                                                                                                                                                                                                                                                                                              <w:divsChild>
                                                                                                                                                                                                                                                                                                                                                                                                                                                                                                                <w:div w:id="2094625812">
                                                                                                                                                                                                                                                                                                                                                                                                                                                                                                                  <w:marLeft w:val="0"/>
                                                                                                                                                                                                                                                                                                                                                                                                                                                                                                                  <w:marRight w:val="0"/>
                                                                                                                                                                                                                                                                                                                                                                                                                                                                                                                  <w:marTop w:val="0"/>
                                                                                                                                                                                                                                                                                                                                                                                                                                                                                                                  <w:marBottom w:val="0"/>
                                                                                                                                                                                                                                                                                                                                                                                                                                                                                                                  <w:divBdr>
                                                                                                                                                                                                                                                                                                                                                                                                                                                                                                                    <w:top w:val="none" w:sz="0" w:space="0" w:color="auto"/>
                                                                                                                                                                                                                                                                                                                                                                                                                                                                                                                    <w:left w:val="none" w:sz="0" w:space="0" w:color="auto"/>
                                                                                                                                                                                                                                                                                                                                                                                                                                                                                                                    <w:bottom w:val="none" w:sz="0" w:space="0" w:color="auto"/>
                                                                                                                                                                                                                                                                                                                                                                                                                                                                                                                    <w:right w:val="none" w:sz="0" w:space="0" w:color="auto"/>
                                                                                                                                                                                                                                                                                                                                                                                                                                                                                                                  </w:divBdr>
                                                                                                                                                                                                                                                                                                                                                                                                                                                                                                                  <w:divsChild>
                                                                                                                                                                                                                                                                                                                                                                                                                                                                                                                    <w:div w:id="260065143">
                                                                                                                                                                                                                                                                                                                                                                                                                                                                                                                      <w:marLeft w:val="0"/>
                                                                                                                                                                                                                                                                                                                                                                                                                                                                                                                      <w:marRight w:val="0"/>
                                                                                                                                                                                                                                                                                                                                                                                                                                                                                                                      <w:marTop w:val="0"/>
                                                                                                                                                                                                                                                                                                                                                                                                                                                                                                                      <w:marBottom w:val="0"/>
                                                                                                                                                                                                                                                                                                                                                                                                                                                                                                                      <w:divBdr>
                                                                                                                                                                                                                                                                                                                                                                                                                                                                                                                        <w:top w:val="none" w:sz="0" w:space="0" w:color="auto"/>
                                                                                                                                                                                                                                                                                                                                                                                                                                                                                                                        <w:left w:val="none" w:sz="0" w:space="0" w:color="auto"/>
                                                                                                                                                                                                                                                                                                                                                                                                                                                                                                                        <w:bottom w:val="none" w:sz="0" w:space="0" w:color="auto"/>
                                                                                                                                                                                                                                                                                                                                                                                                                                                                                                                        <w:right w:val="none" w:sz="0" w:space="0" w:color="auto"/>
                                                                                                                                                                                                                                                                                                                                                                                                                                                                                                                      </w:divBdr>
                                                                                                                                                                                                                                                                                                                                                                                                                                                                                                                      <w:divsChild>
                                                                                                                                                                                                                                                                                                                                                                                                                                                                                                                        <w:div w:id="1841575610">
                                                                                                                                                                                                                                                                                                                                                                                                                                                                                                                          <w:marLeft w:val="0"/>
                                                                                                                                                                                                                                                                                                                                                                                                                                                                                                                          <w:marRight w:val="0"/>
                                                                                                                                                                                                                                                                                                                                                                                                                                                                                                                          <w:marTop w:val="0"/>
                                                                                                                                                                                                                                                                                                                                                                                                                                                                                                                          <w:marBottom w:val="0"/>
                                                                                                                                                                                                                                                                                                                                                                                                                                                                                                                          <w:divBdr>
                                                                                                                                                                                                                                                                                                                                                                                                                                                                                                                            <w:top w:val="none" w:sz="0" w:space="0" w:color="auto"/>
                                                                                                                                                                                                                                                                                                                                                                                                                                                                                                                            <w:left w:val="none" w:sz="0" w:space="0" w:color="auto"/>
                                                                                                                                                                                                                                                                                                                                                                                                                                                                                                                            <w:bottom w:val="none" w:sz="0" w:space="0" w:color="auto"/>
                                                                                                                                                                                                                                                                                                                                                                                                                                                                                                                            <w:right w:val="none" w:sz="0" w:space="0" w:color="auto"/>
                                                                                                                                                                                                                                                                                                                                                                                                                                                                                                                          </w:divBdr>
                                                                                                                                                                                                                                                                                                                                                                                                                                                                                                                          <w:divsChild>
                                                                                                                                                                                                                                                                                                                                                                                                                                                                                                                            <w:div w:id="2121030240">
                                                                                                                                                                                                                                                                                                                                                                                                                                                                                                                              <w:marLeft w:val="0"/>
                                                                                                                                                                                                                                                                                                                                                                                                                                                                                                                              <w:marRight w:val="0"/>
                                                                                                                                                                                                                                                                                                                                                                                                                                                                                                                              <w:marTop w:val="0"/>
                                                                                                                                                                                                                                                                                                                                                                                                                                                                                                                              <w:marBottom w:val="0"/>
                                                                                                                                                                                                                                                                                                                                                                                                                                                                                                                              <w:divBdr>
                                                                                                                                                                                                                                                                                                                                                                                                                                                                                                                                <w:top w:val="none" w:sz="0" w:space="0" w:color="auto"/>
                                                                                                                                                                                                                                                                                                                                                                                                                                                                                                                                <w:left w:val="none" w:sz="0" w:space="0" w:color="auto"/>
                                                                                                                                                                                                                                                                                                                                                                                                                                                                                                                                <w:bottom w:val="none" w:sz="0" w:space="0" w:color="auto"/>
                                                                                                                                                                                                                                                                                                                                                                                                                                                                                                                                <w:right w:val="none" w:sz="0" w:space="0" w:color="auto"/>
                                                                                                                                                                                                                                                                                                                                                                                                                                                                                                                              </w:divBdr>
                                                                                                                                                                                                                                                                                                                                                                                                                                                                                                                              <w:divsChild>
                                                                                                                                                                                                                                                                                                                                                                                                                                                                                                                                <w:div w:id="1031417113">
                                                                                                                                                                                                                                                                                                                                                                                                                                                                                                                                  <w:marLeft w:val="0"/>
                                                                                                                                                                                                                                                                                                                                                                                                                                                                                                                                  <w:marRight w:val="0"/>
                                                                                                                                                                                                                                                                                                                                                                                                                                                                                                                                  <w:marTop w:val="0"/>
                                                                                                                                                                                                                                                                                                                                                                                                                                                                                                                                  <w:marBottom w:val="0"/>
                                                                                                                                                                                                                                                                                                                                                                                                                                                                                                                                  <w:divBdr>
                                                                                                                                                                                                                                                                                                                                                                                                                                                                                                                                    <w:top w:val="none" w:sz="0" w:space="0" w:color="auto"/>
                                                                                                                                                                                                                                                                                                                                                                                                                                                                                                                                    <w:left w:val="none" w:sz="0" w:space="0" w:color="auto"/>
                                                                                                                                                                                                                                                                                                                                                                                                                                                                                                                                    <w:bottom w:val="none" w:sz="0" w:space="0" w:color="auto"/>
                                                                                                                                                                                                                                                                                                                                                                                                                                                                                                                                    <w:right w:val="none" w:sz="0" w:space="0" w:color="auto"/>
                                                                                                                                                                                                                                                                                                                                                                                                                                                                                                                                  </w:divBdr>
                                                                                                                                                                                                                                                                                                                                                                                                                                                                                                                                  <w:divsChild>
                                                                                                                                                                                                                                                                                                                                                                                                                                                                                                                                    <w:div w:id="425542735">
                                                                                                                                                                                                                                                                                                                                                                                                                                                                                                                                      <w:marLeft w:val="0"/>
                                                                                                                                                                                                                                                                                                                                                                                                                                                                                                                                      <w:marRight w:val="0"/>
                                                                                                                                                                                                                                                                                                                                                                                                                                                                                                                                      <w:marTop w:val="0"/>
                                                                                                                                                                                                                                                                                                                                                                                                                                                                                                                                      <w:marBottom w:val="0"/>
                                                                                                                                                                                                                                                                                                                                                                                                                                                                                                                                      <w:divBdr>
                                                                                                                                                                                                                                                                                                                                                                                                                                                                                                                                        <w:top w:val="none" w:sz="0" w:space="0" w:color="auto"/>
                                                                                                                                                                                                                                                                                                                                                                                                                                                                                                                                        <w:left w:val="none" w:sz="0" w:space="0" w:color="auto"/>
                                                                                                                                                                                                                                                                                                                                                                                                                                                                                                                                        <w:bottom w:val="none" w:sz="0" w:space="0" w:color="auto"/>
                                                                                                                                                                                                                                                                                                                                                                                                                                                                                                                                        <w:right w:val="none" w:sz="0" w:space="0" w:color="auto"/>
                                                                                                                                                                                                                                                                                                                                                                                                                                                                                                                                      </w:divBdr>
                                                                                                                                                                                                                                                                                                                                                                                                                                                                                                                                      <w:divsChild>
                                                                                                                                                                                                                                                                                                                                                                                                                                                                                                                                        <w:div w:id="78452817">
                                                                                                                                                                                                                                                                                                                                                                                                                                                                                                                                          <w:marLeft w:val="0"/>
                                                                                                                                                                                                                                                                                                                                                                                                                                                                                                                                          <w:marRight w:val="0"/>
                                                                                                                                                                                                                                                                                                                                                                                                                                                                                                                                          <w:marTop w:val="0"/>
                                                                                                                                                                                                                                                                                                                                                                                                                                                                                                                                          <w:marBottom w:val="0"/>
                                                                                                                                                                                                                                                                                                                                                                                                                                                                                                                                          <w:divBdr>
                                                                                                                                                                                                                                                                                                                                                                                                                                                                                                                                            <w:top w:val="none" w:sz="0" w:space="0" w:color="auto"/>
                                                                                                                                                                                                                                                                                                                                                                                                                                                                                                                                            <w:left w:val="none" w:sz="0" w:space="0" w:color="auto"/>
                                                                                                                                                                                                                                                                                                                                                                                                                                                                                                                                            <w:bottom w:val="none" w:sz="0" w:space="0" w:color="auto"/>
                                                                                                                                                                                                                                                                                                                                                                                                                                                                                                                                            <w:right w:val="none" w:sz="0" w:space="0" w:color="auto"/>
                                                                                                                                                                                                                                                                                                                                                                                                                                                                                                                                          </w:divBdr>
                                                                                                                                                                                                                                                                                                                                                                                                                                                                                                                                          <w:divsChild>
                                                                                                                                                                                                                                                                                                                                                                                                                                                                                                                                            <w:div w:id="920061613">
                                                                                                                                                                                                                                                                                                                                                                                                                                                                                                                                              <w:marLeft w:val="0"/>
                                                                                                                                                                                                                                                                                                                                                                                                                                                                                                                                              <w:marRight w:val="0"/>
                                                                                                                                                                                                                                                                                                                                                                                                                                                                                                                                              <w:marTop w:val="0"/>
                                                                                                                                                                                                                                                                                                                                                                                                                                                                                                                                              <w:marBottom w:val="0"/>
                                                                                                                                                                                                                                                                                                                                                                                                                                                                                                                                              <w:divBdr>
                                                                                                                                                                                                                                                                                                                                                                                                                                                                                                                                                <w:top w:val="none" w:sz="0" w:space="0" w:color="auto"/>
                                                                                                                                                                                                                                                                                                                                                                                                                                                                                                                                                <w:left w:val="none" w:sz="0" w:space="0" w:color="auto"/>
                                                                                                                                                                                                                                                                                                                                                                                                                                                                                                                                                <w:bottom w:val="none" w:sz="0" w:space="0" w:color="auto"/>
                                                                                                                                                                                                                                                                                                                                                                                                                                                                                                                                                <w:right w:val="none" w:sz="0" w:space="0" w:color="auto"/>
                                                                                                                                                                                                                                                                                                                                                                                                                                                                                                                                              </w:divBdr>
                                                                                                                                                                                                                                                                                                                                                                                                                                                                                                                                              <w:divsChild>
                                                                                                                                                                                                                                                                                                                                                                                                                                                                                                                                                <w:div w:id="515734270">
                                                                                                                                                                                                                                                                                                                                                                                                                                                                                                                                                  <w:marLeft w:val="0"/>
                                                                                                                                                                                                                                                                                                                                                                                                                                                                                                                                                  <w:marRight w:val="0"/>
                                                                                                                                                                                                                                                                                                                                                                                                                                                                                                                                                  <w:marTop w:val="0"/>
                                                                                                                                                                                                                                                                                                                                                                                                                                                                                                                                                  <w:marBottom w:val="0"/>
                                                                                                                                                                                                                                                                                                                                                                                                                                                                                                                                                  <w:divBdr>
                                                                                                                                                                                                                                                                                                                                                                                                                                                                                                                                                    <w:top w:val="none" w:sz="0" w:space="0" w:color="auto"/>
                                                                                                                                                                                                                                                                                                                                                                                                                                                                                                                                                    <w:left w:val="none" w:sz="0" w:space="0" w:color="auto"/>
                                                                                                                                                                                                                                                                                                                                                                                                                                                                                                                                                    <w:bottom w:val="none" w:sz="0" w:space="0" w:color="auto"/>
                                                                                                                                                                                                                                                                                                                                                                                                                                                                                                                                                    <w:right w:val="none" w:sz="0" w:space="0" w:color="auto"/>
                                                                                                                                                                                                                                                                                                                                                                                                                                                                                                                                                  </w:divBdr>
                                                                                                                                                                                                                                                                                                                                                                                                                                                                                                                                                  <w:divsChild>
                                                                                                                                                                                                                                                                                                                                                                                                                                                                                                                                                    <w:div w:id="57096173">
                                                                                                                                                                                                                                                                                                                                                                                                                                                                                                                                                      <w:marLeft w:val="0"/>
                                                                                                                                                                                                                                                                                                                                                                                                                                                                                                                                                      <w:marRight w:val="0"/>
                                                                                                                                                                                                                                                                                                                                                                                                                                                                                                                                                      <w:marTop w:val="0"/>
                                                                                                                                                                                                                                                                                                                                                                                                                                                                                                                                                      <w:marBottom w:val="0"/>
                                                                                                                                                                                                                                                                                                                                                                                                                                                                                                                                                      <w:divBdr>
                                                                                                                                                                                                                                                                                                                                                                                                                                                                                                                                                        <w:top w:val="none" w:sz="0" w:space="0" w:color="auto"/>
                                                                                                                                                                                                                                                                                                                                                                                                                                                                                                                                                        <w:left w:val="none" w:sz="0" w:space="0" w:color="auto"/>
                                                                                                                                                                                                                                                                                                                                                                                                                                                                                                                                                        <w:bottom w:val="none" w:sz="0" w:space="0" w:color="auto"/>
                                                                                                                                                                                                                                                                                                                                                                                                                                                                                                                                                        <w:right w:val="none" w:sz="0" w:space="0" w:color="auto"/>
                                                                                                                                                                                                                                                                                                                                                                                                                                                                                                                                                      </w:divBdr>
                                                                                                                                                                                                                                                                                                                                                                                                                                                                                                                                                      <w:divsChild>
                                                                                                                                                                                                                                                                                                                                                                                                                                                                                                                                                        <w:div w:id="1552958994">
                                                                                                                                                                                                                                                                                                                                                                                                                                                                                                                                                          <w:marLeft w:val="0"/>
                                                                                                                                                                                                                                                                                                                                                                                                                                                                                                                                                          <w:marRight w:val="0"/>
                                                                                                                                                                                                                                                                                                                                                                                                                                                                                                                                                          <w:marTop w:val="0"/>
                                                                                                                                                                                                                                                                                                                                                                                                                                                                                                                                                          <w:marBottom w:val="0"/>
                                                                                                                                                                                                                                                                                                                                                                                                                                                                                                                                                          <w:divBdr>
                                                                                                                                                                                                                                                                                                                                                                                                                                                                                                                                                            <w:top w:val="none" w:sz="0" w:space="0" w:color="auto"/>
                                                                                                                                                                                                                                                                                                                                                                                                                                                                                                                                                            <w:left w:val="none" w:sz="0" w:space="0" w:color="auto"/>
                                                                                                                                                                                                                                                                                                                                                                                                                                                                                                                                                            <w:bottom w:val="none" w:sz="0" w:space="0" w:color="auto"/>
                                                                                                                                                                                                                                                                                                                                                                                                                                                                                                                                                            <w:right w:val="none" w:sz="0" w:space="0" w:color="auto"/>
                                                                                                                                                                                                                                                                                                                                                                                                                                                                                                                                                          </w:divBdr>
                                                                                                                                                                                                                                                                                                                                                                                                                                                                                                                                                          <w:divsChild>
                                                                                                                                                                                                                                                                                                                                                                                                                                                                                                                                                            <w:div w:id="1914318645">
                                                                                                                                                                                                                                                                                                                                                                                                                                                                                                                                                              <w:marLeft w:val="0"/>
                                                                                                                                                                                                                                                                                                                                                                                                                                                                                                                                                              <w:marRight w:val="0"/>
                                                                                                                                                                                                                                                                                                                                                                                                                                                                                                                                                              <w:marTop w:val="0"/>
                                                                                                                                                                                                                                                                                                                                                                                                                                                                                                                                                              <w:marBottom w:val="0"/>
                                                                                                                                                                                                                                                                                                                                                                                                                                                                                                                                                              <w:divBdr>
                                                                                                                                                                                                                                                                                                                                                                                                                                                                                                                                                                <w:top w:val="none" w:sz="0" w:space="0" w:color="auto"/>
                                                                                                                                                                                                                                                                                                                                                                                                                                                                                                                                                                <w:left w:val="none" w:sz="0" w:space="0" w:color="auto"/>
                                                                                                                                                                                                                                                                                                                                                                                                                                                                                                                                                                <w:bottom w:val="none" w:sz="0" w:space="0" w:color="auto"/>
                                                                                                                                                                                                                                                                                                                                                                                                                                                                                                                                                                <w:right w:val="none" w:sz="0" w:space="0" w:color="auto"/>
                                                                                                                                                                                                                                                                                                                                                                                                                                                                                                                                                              </w:divBdr>
                                                                                                                                                                                                                                                                                                                                                                                                                                                                                                                                                              <w:divsChild>
                                                                                                                                                                                                                                                                                                                                                                                                                                                                                                                                                                <w:div w:id="320278398">
                                                                                                                                                                                                                                                                                                                                                                                                                                                                                                                                                                  <w:marLeft w:val="0"/>
                                                                                                                                                                                                                                                                                                                                                                                                                                                                                                                                                                  <w:marRight w:val="0"/>
                                                                                                                                                                                                                                                                                                                                                                                                                                                                                                                                                                  <w:marTop w:val="0"/>
                                                                                                                                                                                                                                                                                                                                                                                                                                                                                                                                                                  <w:marBottom w:val="0"/>
                                                                                                                                                                                                                                                                                                                                                                                                                                                                                                                                                                  <w:divBdr>
                                                                                                                                                                                                                                                                                                                                                                                                                                                                                                                                                                    <w:top w:val="none" w:sz="0" w:space="0" w:color="auto"/>
                                                                                                                                                                                                                                                                                                                                                                                                                                                                                                                                                                    <w:left w:val="none" w:sz="0" w:space="0" w:color="auto"/>
                                                                                                                                                                                                                                                                                                                                                                                                                                                                                                                                                                    <w:bottom w:val="none" w:sz="0" w:space="0" w:color="auto"/>
                                                                                                                                                                                                                                                                                                                                                                                                                                                                                                                                                                    <w:right w:val="none" w:sz="0" w:space="0" w:color="auto"/>
                                                                                                                                                                                                                                                                                                                                                                                                                                                                                                                                                                  </w:divBdr>
                                                                                                                                                                                                                                                                                                                                                                                                                                                                                                                                                                  <w:divsChild>
                                                                                                                                                                                                                                                                                                                                                                                                                                                                                                                                                                    <w:div w:id="16480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931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alison.holmes@imperial.ac.uk"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55359-FEBC-4C1F-A3FD-18AAFD110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67351</Words>
  <Characters>383904</Characters>
  <Application>Microsoft Office Word</Application>
  <DocSecurity>0</DocSecurity>
  <Lines>3199</Lines>
  <Paragraphs>900</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Imperial College</Company>
  <LinksUpToDate>false</LinksUpToDate>
  <CharactersWithSpaces>450355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Holmes</dc:creator>
  <cp:lastModifiedBy>Moore, L</cp:lastModifiedBy>
  <cp:revision>2</cp:revision>
  <cp:lastPrinted>2015-01-14T11:06:00Z</cp:lastPrinted>
  <dcterms:created xsi:type="dcterms:W3CDTF">2015-08-25T10:47:00Z</dcterms:created>
  <dcterms:modified xsi:type="dcterms:W3CDTF">2015-08-25T10:47:00Z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l.moore@imperial.ac.uk@www.mendeley.com</vt:lpwstr>
  </property>
  <property fmtid="{D5CDD505-2E9C-101B-9397-08002B2CF9AE}" pid="4" name="Mendeley Citation Style_1">
    <vt:lpwstr>http://www.zotero.org/styles/the-lancet</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http://www.zotero.org/styles/harvard-imperial-college-london</vt:lpwstr>
  </property>
  <property fmtid="{D5CDD505-2E9C-101B-9397-08002B2CF9AE}" pid="10" name="Mendeley Recent Style Name 2_1">
    <vt:lpwstr>Harvard - Imperial College London</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(author-date)</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7th edition</vt:lpwstr>
  </property>
  <property fmtid="{D5CDD505-2E9C-101B-9397-08002B2CF9AE}" pid="17" name="Mendeley Recent Style Id 6_1">
    <vt:lpwstr>http://www.zotero.org/styles/national-library-of-medicine</vt:lpwstr>
  </property>
  <property fmtid="{D5CDD505-2E9C-101B-9397-08002B2CF9AE}" pid="18" name="Mendeley Recent Style Name 6_1">
    <vt:lpwstr>National Library of Medicine</vt:lpwstr>
  </property>
  <property fmtid="{D5CDD505-2E9C-101B-9397-08002B2CF9AE}" pid="19" name="Mendeley Recent Style Id 7_1">
    <vt:lpwstr>http://www.zotero.org/styles/the-lancet</vt:lpwstr>
  </property>
  <property fmtid="{D5CDD505-2E9C-101B-9397-08002B2CF9AE}" pid="20" name="Mendeley Recent Style Name 7_1">
    <vt:lpwstr>The Lancet</vt:lpwstr>
  </property>
  <property fmtid="{D5CDD505-2E9C-101B-9397-08002B2CF9AE}" pid="21" name="Mendeley Recent Style Id 8_1">
    <vt:lpwstr>http://www.zotero.org/styles/the-new-england-journal-of-medicine</vt:lpwstr>
  </property>
  <property fmtid="{D5CDD505-2E9C-101B-9397-08002B2CF9AE}" pid="22" name="Mendeley Recent Style Name 8_1">
    <vt:lpwstr>The New England Journal of Medicine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